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Ex1.xml" ContentType="application/vnd.ms-office.chartex+xml"/>
  <Override PartName="/word/charts/style9.xml" ContentType="application/vnd.ms-office.chartstyle+xml"/>
  <Override PartName="/word/charts/colors9.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18ED3" w14:textId="77777777" w:rsidR="005F34CE" w:rsidRPr="007F4E9F" w:rsidRDefault="005F34CE" w:rsidP="0007118A">
      <w:pPr>
        <w:jc w:val="center"/>
        <w:rPr>
          <w:rFonts w:ascii="Times New Roman" w:eastAsia="Times New Roman" w:hAnsi="Times New Roman" w:cs="Times New Roman"/>
          <w:b/>
          <w:bCs/>
        </w:rPr>
      </w:pPr>
      <w:r w:rsidRPr="007F4E9F">
        <w:rPr>
          <w:rFonts w:ascii="Times New Roman" w:eastAsia="Times New Roman" w:hAnsi="Times New Roman" w:cs="Times New Roman"/>
          <w:b/>
          <w:bCs/>
        </w:rPr>
        <w:t>PLATAFORMA COLABORATIVA REGIONAL PARA EL FORTALECIMIENTO DE LA ECONOMÍA CIRCULAR, DE CARA A LA RECUPERACIÓN POST COVID-19 Y LA MITIGACIÓN DEL CAMBIO CLIMÁTICO</w:t>
      </w:r>
    </w:p>
    <w:p w14:paraId="7AC0F337" w14:textId="77777777" w:rsidR="005F34CE" w:rsidRPr="007F4E9F" w:rsidRDefault="005F34CE" w:rsidP="0032235A">
      <w:pPr>
        <w:jc w:val="both"/>
        <w:rPr>
          <w:rFonts w:ascii="Times New Roman" w:eastAsia="Times New Roman" w:hAnsi="Times New Roman" w:cs="Times New Roman"/>
          <w:b/>
          <w:bCs/>
        </w:rPr>
      </w:pPr>
    </w:p>
    <w:p w14:paraId="573F7885" w14:textId="77777777" w:rsidR="005F34CE" w:rsidRPr="007F4E9F" w:rsidRDefault="005F34CE" w:rsidP="0032235A">
      <w:pPr>
        <w:jc w:val="both"/>
        <w:rPr>
          <w:rFonts w:ascii="Times New Roman" w:eastAsia="Times New Roman" w:hAnsi="Times New Roman" w:cs="Times New Roman"/>
          <w:b/>
          <w:bCs/>
        </w:rPr>
      </w:pPr>
    </w:p>
    <w:p w14:paraId="38FF63C1" w14:textId="77777777" w:rsidR="005F34CE" w:rsidRPr="007F4E9F" w:rsidRDefault="005F34CE" w:rsidP="0032235A">
      <w:pPr>
        <w:jc w:val="both"/>
        <w:rPr>
          <w:rFonts w:ascii="Times New Roman" w:eastAsia="Times New Roman" w:hAnsi="Times New Roman" w:cs="Times New Roman"/>
          <w:b/>
          <w:bCs/>
        </w:rPr>
      </w:pPr>
    </w:p>
    <w:p w14:paraId="38A2A9FF" w14:textId="77777777" w:rsidR="005F34CE" w:rsidRPr="007F4E9F" w:rsidRDefault="005F34CE" w:rsidP="0032235A">
      <w:pPr>
        <w:jc w:val="both"/>
        <w:rPr>
          <w:rFonts w:ascii="Times New Roman" w:eastAsia="Times New Roman" w:hAnsi="Times New Roman" w:cs="Times New Roman"/>
          <w:b/>
          <w:bCs/>
        </w:rPr>
      </w:pPr>
    </w:p>
    <w:p w14:paraId="53606F08" w14:textId="77777777" w:rsidR="005F34CE" w:rsidRPr="007F4E9F" w:rsidRDefault="005F34CE" w:rsidP="0007118A">
      <w:pPr>
        <w:jc w:val="center"/>
        <w:rPr>
          <w:rFonts w:ascii="Times New Roman" w:eastAsia="Times New Roman" w:hAnsi="Times New Roman" w:cs="Times New Roman"/>
          <w:b/>
          <w:bCs/>
          <w:lang w:val="en-US"/>
        </w:rPr>
      </w:pPr>
      <w:r w:rsidRPr="007F4E9F">
        <w:rPr>
          <w:rFonts w:ascii="Times New Roman" w:eastAsia="Times New Roman" w:hAnsi="Times New Roman" w:cs="Times New Roman"/>
          <w:b/>
          <w:bCs/>
        </w:rPr>
        <w:t xml:space="preserve">Convenio de Cooperación Técnica Regional No Reembolsable No. </w:t>
      </w:r>
      <w:r w:rsidRPr="007F4E9F">
        <w:rPr>
          <w:rFonts w:ascii="Times New Roman" w:eastAsia="Times New Roman" w:hAnsi="Times New Roman" w:cs="Times New Roman"/>
          <w:b/>
          <w:bCs/>
          <w:lang w:val="en-US"/>
        </w:rPr>
        <w:t>ATN/OC-19080-RG</w:t>
      </w:r>
    </w:p>
    <w:p w14:paraId="3590661D" w14:textId="77777777" w:rsidR="005F34CE" w:rsidRPr="007F4E9F" w:rsidRDefault="005F34CE" w:rsidP="0032235A">
      <w:pPr>
        <w:jc w:val="both"/>
        <w:rPr>
          <w:rFonts w:ascii="Times New Roman" w:eastAsia="Times New Roman" w:hAnsi="Times New Roman" w:cs="Times New Roman"/>
          <w:b/>
          <w:bCs/>
          <w:lang w:val="en-US"/>
        </w:rPr>
      </w:pPr>
    </w:p>
    <w:p w14:paraId="7FAA4910" w14:textId="77777777" w:rsidR="005F34CE" w:rsidRPr="007F4E9F" w:rsidRDefault="005F34CE" w:rsidP="0032235A">
      <w:pPr>
        <w:jc w:val="both"/>
        <w:rPr>
          <w:rFonts w:ascii="Times New Roman" w:eastAsia="Times New Roman" w:hAnsi="Times New Roman" w:cs="Times New Roman"/>
          <w:b/>
          <w:bCs/>
          <w:lang w:val="en-US"/>
        </w:rPr>
      </w:pPr>
    </w:p>
    <w:p w14:paraId="42C1E58C" w14:textId="77777777" w:rsidR="005F34CE" w:rsidRPr="007F4E9F" w:rsidRDefault="005F34CE" w:rsidP="0032235A">
      <w:pPr>
        <w:jc w:val="both"/>
        <w:rPr>
          <w:rFonts w:ascii="Times New Roman" w:eastAsia="Times New Roman" w:hAnsi="Times New Roman" w:cs="Times New Roman"/>
          <w:b/>
          <w:bCs/>
          <w:lang w:val="en-US"/>
        </w:rPr>
      </w:pPr>
    </w:p>
    <w:p w14:paraId="238FF3B8" w14:textId="77777777" w:rsidR="005F34CE" w:rsidRPr="007F4E9F" w:rsidRDefault="005F34CE" w:rsidP="0007118A">
      <w:pPr>
        <w:jc w:val="center"/>
        <w:rPr>
          <w:rFonts w:ascii="Times New Roman" w:eastAsia="Times New Roman" w:hAnsi="Times New Roman" w:cs="Times New Roman"/>
          <w:b/>
          <w:bCs/>
          <w:lang w:val="en-US"/>
        </w:rPr>
      </w:pPr>
      <w:r w:rsidRPr="007F4E9F">
        <w:rPr>
          <w:rFonts w:ascii="Times New Roman" w:eastAsia="Times New Roman" w:hAnsi="Times New Roman" w:cs="Times New Roman"/>
          <w:b/>
          <w:bCs/>
          <w:lang w:val="en-US"/>
        </w:rPr>
        <w:t>Contrato SDA-BID-06-20251618</w:t>
      </w:r>
    </w:p>
    <w:p w14:paraId="648594BC" w14:textId="77777777" w:rsidR="005F34CE" w:rsidRPr="007F4E9F" w:rsidRDefault="005F34CE" w:rsidP="0007118A">
      <w:pPr>
        <w:jc w:val="center"/>
        <w:rPr>
          <w:rFonts w:ascii="Times New Roman" w:eastAsia="Times New Roman" w:hAnsi="Times New Roman" w:cs="Times New Roman"/>
          <w:b/>
          <w:bCs/>
        </w:rPr>
      </w:pPr>
      <w:r w:rsidRPr="007F4E9F">
        <w:rPr>
          <w:rFonts w:ascii="Times New Roman" w:eastAsia="Times New Roman" w:hAnsi="Times New Roman" w:cs="Times New Roman"/>
          <w:b/>
          <w:bCs/>
        </w:rPr>
        <w:t>Realizar la evaluación final del Convenio de Cooperación Técnica Regional No Reembolsable No. ATN/OC-19080-RG suscrito con el BID, con el propósito de analizar los resultados, impactos, eficiencia y eficacia del proyecto, con base en la metodología establecida por el BID, para la evaluación de proyectos de cooperación técnica y en articulación con los actores clave en las ciudades beneficiarias</w:t>
      </w:r>
    </w:p>
    <w:p w14:paraId="73A7E7A8" w14:textId="77777777" w:rsidR="005F34CE" w:rsidRPr="007F4E9F" w:rsidRDefault="005F34CE" w:rsidP="0032235A">
      <w:pPr>
        <w:jc w:val="both"/>
        <w:rPr>
          <w:rFonts w:ascii="Times New Roman" w:eastAsia="Times New Roman" w:hAnsi="Times New Roman" w:cs="Times New Roman"/>
          <w:b/>
          <w:bCs/>
        </w:rPr>
      </w:pPr>
    </w:p>
    <w:p w14:paraId="0B6EFF70" w14:textId="4D703147" w:rsidR="005F34CE" w:rsidRPr="007F4E9F" w:rsidRDefault="005F34CE" w:rsidP="0007118A">
      <w:pPr>
        <w:jc w:val="center"/>
        <w:rPr>
          <w:rFonts w:ascii="Times New Roman" w:eastAsia="Times New Roman" w:hAnsi="Times New Roman" w:cs="Times New Roman"/>
          <w:b/>
          <w:bCs/>
        </w:rPr>
      </w:pPr>
      <w:r w:rsidRPr="007F4E9F">
        <w:rPr>
          <w:rFonts w:ascii="Times New Roman" w:eastAsia="Times New Roman" w:hAnsi="Times New Roman" w:cs="Times New Roman"/>
          <w:b/>
          <w:bCs/>
        </w:rPr>
        <w:t xml:space="preserve">Producto </w:t>
      </w:r>
      <w:r w:rsidR="004112D3" w:rsidRPr="007F4E9F">
        <w:rPr>
          <w:rFonts w:ascii="Times New Roman" w:eastAsia="Times New Roman" w:hAnsi="Times New Roman" w:cs="Times New Roman"/>
          <w:b/>
          <w:bCs/>
        </w:rPr>
        <w:t>3</w:t>
      </w:r>
      <w:r w:rsidRPr="007F4E9F">
        <w:rPr>
          <w:rFonts w:ascii="Times New Roman" w:eastAsia="Times New Roman" w:hAnsi="Times New Roman" w:cs="Times New Roman"/>
          <w:b/>
          <w:bCs/>
        </w:rPr>
        <w:t xml:space="preserve">. Informe </w:t>
      </w:r>
      <w:r w:rsidR="004112D3" w:rsidRPr="007F4E9F">
        <w:rPr>
          <w:rFonts w:ascii="Times New Roman" w:eastAsia="Times New Roman" w:hAnsi="Times New Roman" w:cs="Times New Roman"/>
          <w:b/>
          <w:bCs/>
        </w:rPr>
        <w:t>final</w:t>
      </w:r>
    </w:p>
    <w:p w14:paraId="3C4A1247" w14:textId="77777777" w:rsidR="005F34CE" w:rsidRPr="007F4E9F" w:rsidRDefault="005F34CE" w:rsidP="0032235A">
      <w:pPr>
        <w:jc w:val="both"/>
        <w:rPr>
          <w:rFonts w:ascii="Times New Roman" w:eastAsia="Times New Roman" w:hAnsi="Times New Roman" w:cs="Times New Roman"/>
          <w:b/>
          <w:bCs/>
        </w:rPr>
      </w:pPr>
    </w:p>
    <w:p w14:paraId="00ABF62E" w14:textId="77777777" w:rsidR="005F34CE" w:rsidRPr="007F4E9F" w:rsidRDefault="005F34CE" w:rsidP="0007118A">
      <w:pPr>
        <w:jc w:val="center"/>
        <w:rPr>
          <w:rFonts w:ascii="Times New Roman" w:eastAsia="Times New Roman" w:hAnsi="Times New Roman" w:cs="Times New Roman"/>
          <w:b/>
          <w:bCs/>
        </w:rPr>
      </w:pPr>
      <w:r w:rsidRPr="007F4E9F">
        <w:rPr>
          <w:rFonts w:ascii="Times New Roman" w:eastAsia="Times New Roman" w:hAnsi="Times New Roman" w:cs="Times New Roman"/>
          <w:b/>
          <w:bCs/>
        </w:rPr>
        <w:t>Consultor Individual: Jhon Fredy Arias Duque</w:t>
      </w:r>
    </w:p>
    <w:p w14:paraId="600FE1A8" w14:textId="77777777" w:rsidR="005F34CE" w:rsidRPr="007F4E9F" w:rsidRDefault="005F34CE" w:rsidP="0032235A">
      <w:pPr>
        <w:jc w:val="both"/>
        <w:rPr>
          <w:rFonts w:ascii="Times New Roman" w:eastAsia="Times New Roman" w:hAnsi="Times New Roman" w:cs="Times New Roman"/>
          <w:b/>
          <w:bCs/>
        </w:rPr>
      </w:pPr>
    </w:p>
    <w:p w14:paraId="5C50C48B" w14:textId="77777777" w:rsidR="005F34CE" w:rsidRPr="007F4E9F" w:rsidRDefault="005F34CE" w:rsidP="0032235A">
      <w:pPr>
        <w:jc w:val="both"/>
        <w:rPr>
          <w:rFonts w:ascii="Times New Roman" w:eastAsia="Times New Roman" w:hAnsi="Times New Roman" w:cs="Times New Roman"/>
          <w:b/>
          <w:bCs/>
        </w:rPr>
      </w:pPr>
    </w:p>
    <w:p w14:paraId="2190FDFC" w14:textId="77777777" w:rsidR="005F34CE" w:rsidRPr="007F4E9F" w:rsidRDefault="005F34CE" w:rsidP="0032235A">
      <w:pPr>
        <w:jc w:val="both"/>
        <w:rPr>
          <w:rFonts w:ascii="Times New Roman" w:eastAsia="Times New Roman" w:hAnsi="Times New Roman" w:cs="Times New Roman"/>
          <w:b/>
          <w:bCs/>
        </w:rPr>
      </w:pPr>
    </w:p>
    <w:p w14:paraId="0B3D0D52" w14:textId="40FE06A6" w:rsidR="005F34CE" w:rsidRPr="007F4E9F" w:rsidRDefault="004112D3" w:rsidP="0007118A">
      <w:pPr>
        <w:jc w:val="center"/>
        <w:rPr>
          <w:rFonts w:ascii="Times New Roman" w:eastAsia="Times New Roman" w:hAnsi="Times New Roman" w:cs="Times New Roman"/>
          <w:b/>
          <w:bCs/>
        </w:rPr>
      </w:pPr>
      <w:r w:rsidRPr="007F4E9F">
        <w:rPr>
          <w:rFonts w:ascii="Times New Roman" w:eastAsia="Times New Roman" w:hAnsi="Times New Roman" w:cs="Times New Roman"/>
          <w:b/>
          <w:bCs/>
        </w:rPr>
        <w:t xml:space="preserve">Abril 10 </w:t>
      </w:r>
      <w:r w:rsidR="005F34CE" w:rsidRPr="007F4E9F">
        <w:rPr>
          <w:rFonts w:ascii="Times New Roman" w:eastAsia="Times New Roman" w:hAnsi="Times New Roman" w:cs="Times New Roman"/>
          <w:b/>
          <w:bCs/>
        </w:rPr>
        <w:t>de 2026</w:t>
      </w:r>
    </w:p>
    <w:p w14:paraId="4146E01E" w14:textId="77777777" w:rsidR="005F34CE" w:rsidRPr="007F4E9F" w:rsidRDefault="005F34CE" w:rsidP="0032235A">
      <w:pPr>
        <w:jc w:val="both"/>
        <w:rPr>
          <w:rFonts w:ascii="Times New Roman" w:eastAsia="Times New Roman" w:hAnsi="Times New Roman" w:cs="Times New Roman"/>
          <w:b/>
          <w:bCs/>
        </w:rPr>
      </w:pPr>
      <w:r w:rsidRPr="007F4E9F">
        <w:rPr>
          <w:rFonts w:ascii="Times New Roman" w:eastAsia="Times New Roman" w:hAnsi="Times New Roman" w:cs="Times New Roman"/>
          <w:b/>
          <w:bCs/>
        </w:rPr>
        <w:br w:type="page"/>
      </w:r>
    </w:p>
    <w:p w14:paraId="27A3C985" w14:textId="77777777" w:rsidR="005F34CE" w:rsidRPr="007F4E9F" w:rsidRDefault="005F34CE" w:rsidP="0032235A">
      <w:pPr>
        <w:jc w:val="both"/>
        <w:rPr>
          <w:rFonts w:ascii="Times New Roman" w:hAnsi="Times New Roman" w:cs="Times New Roman"/>
          <w:b/>
          <w:bCs/>
        </w:rPr>
      </w:pPr>
      <w:r w:rsidRPr="007F4E9F">
        <w:rPr>
          <w:rFonts w:ascii="Times New Roman" w:hAnsi="Times New Roman" w:cs="Times New Roman"/>
          <w:b/>
          <w:bCs/>
        </w:rPr>
        <w:lastRenderedPageBreak/>
        <w:t>Tabla de contenido</w:t>
      </w:r>
    </w:p>
    <w:p w14:paraId="0C218AF4" w14:textId="66797ABC" w:rsidR="0027526F" w:rsidRDefault="005F34CE">
      <w:pPr>
        <w:pStyle w:val="TOC1"/>
        <w:tabs>
          <w:tab w:val="left" w:pos="440"/>
          <w:tab w:val="right" w:leader="dot" w:pos="8630"/>
        </w:tabs>
        <w:rPr>
          <w:noProof/>
          <w:lang w:eastAsia="es-CO"/>
        </w:rPr>
      </w:pPr>
      <w:r w:rsidRPr="007F4E9F">
        <w:rPr>
          <w:rFonts w:ascii="Times New Roman" w:hAnsi="Times New Roman" w:cs="Times New Roman"/>
        </w:rPr>
        <w:fldChar w:fldCharType="begin"/>
      </w:r>
      <w:r w:rsidRPr="007F4E9F">
        <w:rPr>
          <w:rFonts w:ascii="Times New Roman" w:hAnsi="Times New Roman" w:cs="Times New Roman"/>
        </w:rPr>
        <w:instrText xml:space="preserve"> TOC \o "1-5" \h \z \u </w:instrText>
      </w:r>
      <w:r w:rsidRPr="007F4E9F">
        <w:rPr>
          <w:rFonts w:ascii="Times New Roman" w:hAnsi="Times New Roman" w:cs="Times New Roman"/>
        </w:rPr>
        <w:fldChar w:fldCharType="separate"/>
      </w:r>
      <w:hyperlink w:anchor="_Toc226750177" w:history="1">
        <w:r w:rsidR="0027526F" w:rsidRPr="001F3AD6">
          <w:rPr>
            <w:rStyle w:val="Hyperlink"/>
            <w:rFonts w:ascii="Times New Roman" w:hAnsi="Times New Roman"/>
            <w:noProof/>
          </w:rPr>
          <w:t>1</w:t>
        </w:r>
        <w:r w:rsidR="0027526F">
          <w:rPr>
            <w:noProof/>
            <w:lang w:eastAsia="es-CO"/>
          </w:rPr>
          <w:tab/>
        </w:r>
        <w:r w:rsidR="0027526F" w:rsidRPr="001F3AD6">
          <w:rPr>
            <w:rStyle w:val="Hyperlink"/>
            <w:rFonts w:ascii="Times New Roman" w:hAnsi="Times New Roman"/>
            <w:noProof/>
          </w:rPr>
          <w:t>Resumen ejecutivo</w:t>
        </w:r>
        <w:r w:rsidR="0027526F">
          <w:rPr>
            <w:noProof/>
            <w:webHidden/>
          </w:rPr>
          <w:tab/>
        </w:r>
        <w:r w:rsidR="0027526F">
          <w:rPr>
            <w:noProof/>
            <w:webHidden/>
          </w:rPr>
          <w:fldChar w:fldCharType="begin"/>
        </w:r>
        <w:r w:rsidR="0027526F">
          <w:rPr>
            <w:noProof/>
            <w:webHidden/>
          </w:rPr>
          <w:instrText xml:space="preserve"> PAGEREF _Toc226750177 \h </w:instrText>
        </w:r>
        <w:r w:rsidR="0027526F">
          <w:rPr>
            <w:noProof/>
            <w:webHidden/>
          </w:rPr>
        </w:r>
        <w:r w:rsidR="0027526F">
          <w:rPr>
            <w:noProof/>
            <w:webHidden/>
          </w:rPr>
          <w:fldChar w:fldCharType="separate"/>
        </w:r>
        <w:r w:rsidR="0027526F">
          <w:rPr>
            <w:noProof/>
            <w:webHidden/>
          </w:rPr>
          <w:t>7</w:t>
        </w:r>
        <w:r w:rsidR="0027526F">
          <w:rPr>
            <w:noProof/>
            <w:webHidden/>
          </w:rPr>
          <w:fldChar w:fldCharType="end"/>
        </w:r>
      </w:hyperlink>
    </w:p>
    <w:p w14:paraId="7DDC5AE0" w14:textId="54A69596" w:rsidR="0027526F" w:rsidRDefault="0027526F">
      <w:pPr>
        <w:pStyle w:val="TOC1"/>
        <w:tabs>
          <w:tab w:val="left" w:pos="440"/>
          <w:tab w:val="right" w:leader="dot" w:pos="8630"/>
        </w:tabs>
        <w:rPr>
          <w:noProof/>
          <w:lang w:eastAsia="es-CO"/>
        </w:rPr>
      </w:pPr>
      <w:hyperlink w:anchor="_Toc226750178" w:history="1">
        <w:r w:rsidRPr="001F3AD6">
          <w:rPr>
            <w:rStyle w:val="Hyperlink"/>
            <w:rFonts w:ascii="Times New Roman" w:hAnsi="Times New Roman" w:cs="Times New Roman"/>
            <w:noProof/>
          </w:rPr>
          <w:t>2</w:t>
        </w:r>
        <w:r>
          <w:rPr>
            <w:noProof/>
            <w:lang w:eastAsia="es-CO"/>
          </w:rPr>
          <w:tab/>
        </w:r>
        <w:r w:rsidRPr="001F3AD6">
          <w:rPr>
            <w:rStyle w:val="Hyperlink"/>
            <w:rFonts w:ascii="Times New Roman" w:hAnsi="Times New Roman" w:cs="Times New Roman"/>
            <w:noProof/>
          </w:rPr>
          <w:t>Alcance</w:t>
        </w:r>
        <w:r>
          <w:rPr>
            <w:noProof/>
            <w:webHidden/>
          </w:rPr>
          <w:tab/>
        </w:r>
        <w:r>
          <w:rPr>
            <w:noProof/>
            <w:webHidden/>
          </w:rPr>
          <w:fldChar w:fldCharType="begin"/>
        </w:r>
        <w:r>
          <w:rPr>
            <w:noProof/>
            <w:webHidden/>
          </w:rPr>
          <w:instrText xml:space="preserve"> PAGEREF _Toc226750178 \h </w:instrText>
        </w:r>
        <w:r>
          <w:rPr>
            <w:noProof/>
            <w:webHidden/>
          </w:rPr>
        </w:r>
        <w:r>
          <w:rPr>
            <w:noProof/>
            <w:webHidden/>
          </w:rPr>
          <w:fldChar w:fldCharType="separate"/>
        </w:r>
        <w:r>
          <w:rPr>
            <w:noProof/>
            <w:webHidden/>
          </w:rPr>
          <w:t>8</w:t>
        </w:r>
        <w:r>
          <w:rPr>
            <w:noProof/>
            <w:webHidden/>
          </w:rPr>
          <w:fldChar w:fldCharType="end"/>
        </w:r>
      </w:hyperlink>
    </w:p>
    <w:p w14:paraId="099731F9" w14:textId="43066DFB" w:rsidR="0027526F" w:rsidRDefault="0027526F">
      <w:pPr>
        <w:pStyle w:val="TOC1"/>
        <w:tabs>
          <w:tab w:val="left" w:pos="440"/>
          <w:tab w:val="right" w:leader="dot" w:pos="8630"/>
        </w:tabs>
        <w:rPr>
          <w:noProof/>
          <w:lang w:eastAsia="es-CO"/>
        </w:rPr>
      </w:pPr>
      <w:hyperlink w:anchor="_Toc226750179" w:history="1">
        <w:r w:rsidRPr="001F3AD6">
          <w:rPr>
            <w:rStyle w:val="Hyperlink"/>
            <w:rFonts w:ascii="Times New Roman" w:hAnsi="Times New Roman"/>
            <w:noProof/>
          </w:rPr>
          <w:t>3</w:t>
        </w:r>
        <w:r>
          <w:rPr>
            <w:noProof/>
            <w:lang w:eastAsia="es-CO"/>
          </w:rPr>
          <w:tab/>
        </w:r>
        <w:r w:rsidRPr="001F3AD6">
          <w:rPr>
            <w:rStyle w:val="Hyperlink"/>
            <w:rFonts w:ascii="Times New Roman" w:hAnsi="Times New Roman"/>
            <w:noProof/>
          </w:rPr>
          <w:t>Contexto del Proyecto</w:t>
        </w:r>
        <w:r>
          <w:rPr>
            <w:noProof/>
            <w:webHidden/>
          </w:rPr>
          <w:tab/>
        </w:r>
        <w:r>
          <w:rPr>
            <w:noProof/>
            <w:webHidden/>
          </w:rPr>
          <w:fldChar w:fldCharType="begin"/>
        </w:r>
        <w:r>
          <w:rPr>
            <w:noProof/>
            <w:webHidden/>
          </w:rPr>
          <w:instrText xml:space="preserve"> PAGEREF _Toc226750179 \h </w:instrText>
        </w:r>
        <w:r>
          <w:rPr>
            <w:noProof/>
            <w:webHidden/>
          </w:rPr>
        </w:r>
        <w:r>
          <w:rPr>
            <w:noProof/>
            <w:webHidden/>
          </w:rPr>
          <w:fldChar w:fldCharType="separate"/>
        </w:r>
        <w:r>
          <w:rPr>
            <w:noProof/>
            <w:webHidden/>
          </w:rPr>
          <w:t>9</w:t>
        </w:r>
        <w:r>
          <w:rPr>
            <w:noProof/>
            <w:webHidden/>
          </w:rPr>
          <w:fldChar w:fldCharType="end"/>
        </w:r>
      </w:hyperlink>
    </w:p>
    <w:p w14:paraId="0864D4D5" w14:textId="52D33E86" w:rsidR="0027526F" w:rsidRDefault="0027526F">
      <w:pPr>
        <w:pStyle w:val="TOC2"/>
        <w:tabs>
          <w:tab w:val="left" w:pos="880"/>
          <w:tab w:val="right" w:leader="dot" w:pos="8630"/>
        </w:tabs>
        <w:rPr>
          <w:noProof/>
          <w:lang w:eastAsia="es-CO"/>
        </w:rPr>
      </w:pPr>
      <w:hyperlink w:anchor="_Toc226750180" w:history="1">
        <w:r w:rsidRPr="001F3AD6">
          <w:rPr>
            <w:rStyle w:val="Hyperlink"/>
            <w:rFonts w:ascii="Times New Roman" w:hAnsi="Times New Roman" w:cs="Times New Roman"/>
            <w:noProof/>
          </w:rPr>
          <w:t>3.1</w:t>
        </w:r>
        <w:r>
          <w:rPr>
            <w:noProof/>
            <w:lang w:eastAsia="es-CO"/>
          </w:rPr>
          <w:tab/>
        </w:r>
        <w:r w:rsidRPr="001F3AD6">
          <w:rPr>
            <w:rStyle w:val="Hyperlink"/>
            <w:rFonts w:ascii="Times New Roman" w:hAnsi="Times New Roman" w:cs="Times New Roman"/>
            <w:noProof/>
          </w:rPr>
          <w:t>Componente 1. Diseño y operación de una plataforma de economía circular</w:t>
        </w:r>
        <w:r>
          <w:rPr>
            <w:noProof/>
            <w:webHidden/>
          </w:rPr>
          <w:tab/>
        </w:r>
        <w:r>
          <w:rPr>
            <w:noProof/>
            <w:webHidden/>
          </w:rPr>
          <w:fldChar w:fldCharType="begin"/>
        </w:r>
        <w:r>
          <w:rPr>
            <w:noProof/>
            <w:webHidden/>
          </w:rPr>
          <w:instrText xml:space="preserve"> PAGEREF _Toc226750180 \h </w:instrText>
        </w:r>
        <w:r>
          <w:rPr>
            <w:noProof/>
            <w:webHidden/>
          </w:rPr>
        </w:r>
        <w:r>
          <w:rPr>
            <w:noProof/>
            <w:webHidden/>
          </w:rPr>
          <w:fldChar w:fldCharType="separate"/>
        </w:r>
        <w:r>
          <w:rPr>
            <w:noProof/>
            <w:webHidden/>
          </w:rPr>
          <w:t>10</w:t>
        </w:r>
        <w:r>
          <w:rPr>
            <w:noProof/>
            <w:webHidden/>
          </w:rPr>
          <w:fldChar w:fldCharType="end"/>
        </w:r>
      </w:hyperlink>
    </w:p>
    <w:p w14:paraId="1F45ABC6" w14:textId="0DF96498" w:rsidR="0027526F" w:rsidRDefault="0027526F">
      <w:pPr>
        <w:pStyle w:val="TOC2"/>
        <w:tabs>
          <w:tab w:val="left" w:pos="880"/>
          <w:tab w:val="right" w:leader="dot" w:pos="8630"/>
        </w:tabs>
        <w:rPr>
          <w:noProof/>
          <w:lang w:eastAsia="es-CO"/>
        </w:rPr>
      </w:pPr>
      <w:hyperlink w:anchor="_Toc226750181" w:history="1">
        <w:r w:rsidRPr="001F3AD6">
          <w:rPr>
            <w:rStyle w:val="Hyperlink"/>
            <w:rFonts w:ascii="Times New Roman" w:hAnsi="Times New Roman" w:cs="Times New Roman"/>
            <w:noProof/>
          </w:rPr>
          <w:t>3.2</w:t>
        </w:r>
        <w:r>
          <w:rPr>
            <w:noProof/>
            <w:lang w:eastAsia="es-CO"/>
          </w:rPr>
          <w:tab/>
        </w:r>
        <w:r w:rsidRPr="001F3AD6">
          <w:rPr>
            <w:rStyle w:val="Hyperlink"/>
            <w:rFonts w:ascii="Times New Roman" w:hAnsi="Times New Roman" w:cs="Times New Roman"/>
            <w:noProof/>
          </w:rPr>
          <w:t>Componente 2. Fortalecimiento de marco regulatorio</w:t>
        </w:r>
        <w:r>
          <w:rPr>
            <w:noProof/>
            <w:webHidden/>
          </w:rPr>
          <w:tab/>
        </w:r>
        <w:r>
          <w:rPr>
            <w:noProof/>
            <w:webHidden/>
          </w:rPr>
          <w:fldChar w:fldCharType="begin"/>
        </w:r>
        <w:r>
          <w:rPr>
            <w:noProof/>
            <w:webHidden/>
          </w:rPr>
          <w:instrText xml:space="preserve"> PAGEREF _Toc226750181 \h </w:instrText>
        </w:r>
        <w:r>
          <w:rPr>
            <w:noProof/>
            <w:webHidden/>
          </w:rPr>
        </w:r>
        <w:r>
          <w:rPr>
            <w:noProof/>
            <w:webHidden/>
          </w:rPr>
          <w:fldChar w:fldCharType="separate"/>
        </w:r>
        <w:r>
          <w:rPr>
            <w:noProof/>
            <w:webHidden/>
          </w:rPr>
          <w:t>10</w:t>
        </w:r>
        <w:r>
          <w:rPr>
            <w:noProof/>
            <w:webHidden/>
          </w:rPr>
          <w:fldChar w:fldCharType="end"/>
        </w:r>
      </w:hyperlink>
    </w:p>
    <w:p w14:paraId="4EDB8DD7" w14:textId="52B7FE18" w:rsidR="0027526F" w:rsidRDefault="0027526F">
      <w:pPr>
        <w:pStyle w:val="TOC2"/>
        <w:tabs>
          <w:tab w:val="left" w:pos="880"/>
          <w:tab w:val="right" w:leader="dot" w:pos="8630"/>
        </w:tabs>
        <w:rPr>
          <w:noProof/>
          <w:lang w:eastAsia="es-CO"/>
        </w:rPr>
      </w:pPr>
      <w:hyperlink w:anchor="_Toc226750182" w:history="1">
        <w:r w:rsidRPr="001F3AD6">
          <w:rPr>
            <w:rStyle w:val="Hyperlink"/>
            <w:rFonts w:ascii="Times New Roman" w:hAnsi="Times New Roman" w:cs="Times New Roman"/>
            <w:noProof/>
          </w:rPr>
          <w:t>3.3</w:t>
        </w:r>
        <w:r>
          <w:rPr>
            <w:noProof/>
            <w:lang w:eastAsia="es-CO"/>
          </w:rPr>
          <w:tab/>
        </w:r>
        <w:r w:rsidRPr="001F3AD6">
          <w:rPr>
            <w:rStyle w:val="Hyperlink"/>
            <w:rFonts w:ascii="Times New Roman" w:hAnsi="Times New Roman" w:cs="Times New Roman"/>
            <w:noProof/>
          </w:rPr>
          <w:t>Componente 3. Diseño de una caja de herramientas para el fortalecimiento de la economía circular en el sector privado</w:t>
        </w:r>
        <w:r>
          <w:rPr>
            <w:noProof/>
            <w:webHidden/>
          </w:rPr>
          <w:tab/>
        </w:r>
        <w:r>
          <w:rPr>
            <w:noProof/>
            <w:webHidden/>
          </w:rPr>
          <w:fldChar w:fldCharType="begin"/>
        </w:r>
        <w:r>
          <w:rPr>
            <w:noProof/>
            <w:webHidden/>
          </w:rPr>
          <w:instrText xml:space="preserve"> PAGEREF _Toc226750182 \h </w:instrText>
        </w:r>
        <w:r>
          <w:rPr>
            <w:noProof/>
            <w:webHidden/>
          </w:rPr>
        </w:r>
        <w:r>
          <w:rPr>
            <w:noProof/>
            <w:webHidden/>
          </w:rPr>
          <w:fldChar w:fldCharType="separate"/>
        </w:r>
        <w:r>
          <w:rPr>
            <w:noProof/>
            <w:webHidden/>
          </w:rPr>
          <w:t>10</w:t>
        </w:r>
        <w:r>
          <w:rPr>
            <w:noProof/>
            <w:webHidden/>
          </w:rPr>
          <w:fldChar w:fldCharType="end"/>
        </w:r>
      </w:hyperlink>
    </w:p>
    <w:p w14:paraId="57DD52D0" w14:textId="29E1FB4A" w:rsidR="0027526F" w:rsidRDefault="0027526F">
      <w:pPr>
        <w:pStyle w:val="TOC1"/>
        <w:tabs>
          <w:tab w:val="left" w:pos="440"/>
          <w:tab w:val="right" w:leader="dot" w:pos="8630"/>
        </w:tabs>
        <w:rPr>
          <w:noProof/>
          <w:lang w:eastAsia="es-CO"/>
        </w:rPr>
      </w:pPr>
      <w:hyperlink w:anchor="_Toc226750183" w:history="1">
        <w:r w:rsidRPr="001F3AD6">
          <w:rPr>
            <w:rStyle w:val="Hyperlink"/>
            <w:rFonts w:ascii="Times New Roman" w:hAnsi="Times New Roman" w:cs="Times New Roman"/>
            <w:noProof/>
          </w:rPr>
          <w:t>4</w:t>
        </w:r>
        <w:r>
          <w:rPr>
            <w:noProof/>
            <w:lang w:eastAsia="es-CO"/>
          </w:rPr>
          <w:tab/>
        </w:r>
        <w:r w:rsidRPr="001F3AD6">
          <w:rPr>
            <w:rStyle w:val="Hyperlink"/>
            <w:rFonts w:ascii="Times New Roman" w:hAnsi="Times New Roman" w:cs="Times New Roman"/>
            <w:noProof/>
          </w:rPr>
          <w:t>Enfoque metodológico</w:t>
        </w:r>
        <w:r>
          <w:rPr>
            <w:noProof/>
            <w:webHidden/>
          </w:rPr>
          <w:tab/>
        </w:r>
        <w:r>
          <w:rPr>
            <w:noProof/>
            <w:webHidden/>
          </w:rPr>
          <w:fldChar w:fldCharType="begin"/>
        </w:r>
        <w:r>
          <w:rPr>
            <w:noProof/>
            <w:webHidden/>
          </w:rPr>
          <w:instrText xml:space="preserve"> PAGEREF _Toc226750183 \h </w:instrText>
        </w:r>
        <w:r>
          <w:rPr>
            <w:noProof/>
            <w:webHidden/>
          </w:rPr>
        </w:r>
        <w:r>
          <w:rPr>
            <w:noProof/>
            <w:webHidden/>
          </w:rPr>
          <w:fldChar w:fldCharType="separate"/>
        </w:r>
        <w:r>
          <w:rPr>
            <w:noProof/>
            <w:webHidden/>
          </w:rPr>
          <w:t>11</w:t>
        </w:r>
        <w:r>
          <w:rPr>
            <w:noProof/>
            <w:webHidden/>
          </w:rPr>
          <w:fldChar w:fldCharType="end"/>
        </w:r>
      </w:hyperlink>
    </w:p>
    <w:p w14:paraId="60BECA01" w14:textId="569DC821" w:rsidR="0027526F" w:rsidRDefault="0027526F">
      <w:pPr>
        <w:pStyle w:val="TOC1"/>
        <w:tabs>
          <w:tab w:val="left" w:pos="440"/>
          <w:tab w:val="right" w:leader="dot" w:pos="8630"/>
        </w:tabs>
        <w:rPr>
          <w:noProof/>
          <w:lang w:eastAsia="es-CO"/>
        </w:rPr>
      </w:pPr>
      <w:hyperlink w:anchor="_Toc226750184" w:history="1">
        <w:r w:rsidRPr="001F3AD6">
          <w:rPr>
            <w:rStyle w:val="Hyperlink"/>
            <w:rFonts w:ascii="Times New Roman" w:hAnsi="Times New Roman" w:cs="Times New Roman"/>
            <w:noProof/>
          </w:rPr>
          <w:t>5</w:t>
        </w:r>
        <w:r>
          <w:rPr>
            <w:noProof/>
            <w:lang w:eastAsia="es-CO"/>
          </w:rPr>
          <w:tab/>
        </w:r>
        <w:r w:rsidRPr="001F3AD6">
          <w:rPr>
            <w:rStyle w:val="Hyperlink"/>
            <w:rFonts w:ascii="Times New Roman" w:hAnsi="Times New Roman" w:cs="Times New Roman"/>
            <w:noProof/>
          </w:rPr>
          <w:t>Resultados generales por componente</w:t>
        </w:r>
        <w:r>
          <w:rPr>
            <w:noProof/>
            <w:webHidden/>
          </w:rPr>
          <w:tab/>
        </w:r>
        <w:r>
          <w:rPr>
            <w:noProof/>
            <w:webHidden/>
          </w:rPr>
          <w:fldChar w:fldCharType="begin"/>
        </w:r>
        <w:r>
          <w:rPr>
            <w:noProof/>
            <w:webHidden/>
          </w:rPr>
          <w:instrText xml:space="preserve"> PAGEREF _Toc226750184 \h </w:instrText>
        </w:r>
        <w:r>
          <w:rPr>
            <w:noProof/>
            <w:webHidden/>
          </w:rPr>
        </w:r>
        <w:r>
          <w:rPr>
            <w:noProof/>
            <w:webHidden/>
          </w:rPr>
          <w:fldChar w:fldCharType="separate"/>
        </w:r>
        <w:r>
          <w:rPr>
            <w:noProof/>
            <w:webHidden/>
          </w:rPr>
          <w:t>15</w:t>
        </w:r>
        <w:r>
          <w:rPr>
            <w:noProof/>
            <w:webHidden/>
          </w:rPr>
          <w:fldChar w:fldCharType="end"/>
        </w:r>
      </w:hyperlink>
    </w:p>
    <w:p w14:paraId="12587D68" w14:textId="1CBDB89E" w:rsidR="0027526F" w:rsidRDefault="0027526F">
      <w:pPr>
        <w:pStyle w:val="TOC2"/>
        <w:tabs>
          <w:tab w:val="left" w:pos="880"/>
          <w:tab w:val="right" w:leader="dot" w:pos="8630"/>
        </w:tabs>
        <w:rPr>
          <w:noProof/>
          <w:lang w:eastAsia="es-CO"/>
        </w:rPr>
      </w:pPr>
      <w:hyperlink w:anchor="_Toc226750185" w:history="1">
        <w:r w:rsidRPr="001F3AD6">
          <w:rPr>
            <w:rStyle w:val="Hyperlink"/>
            <w:rFonts w:ascii="Times New Roman" w:hAnsi="Times New Roman" w:cs="Times New Roman"/>
            <w:noProof/>
          </w:rPr>
          <w:t>5.1</w:t>
        </w:r>
        <w:r>
          <w:rPr>
            <w:noProof/>
            <w:lang w:eastAsia="es-CO"/>
          </w:rPr>
          <w:tab/>
        </w:r>
        <w:r w:rsidRPr="001F3AD6">
          <w:rPr>
            <w:rStyle w:val="Hyperlink"/>
            <w:rFonts w:ascii="Times New Roman" w:hAnsi="Times New Roman" w:cs="Times New Roman"/>
            <w:noProof/>
          </w:rPr>
          <w:t>Componente 1: Diseño y operación de una plataforma de economía circular</w:t>
        </w:r>
        <w:r>
          <w:rPr>
            <w:noProof/>
            <w:webHidden/>
          </w:rPr>
          <w:tab/>
        </w:r>
        <w:r>
          <w:rPr>
            <w:noProof/>
            <w:webHidden/>
          </w:rPr>
          <w:fldChar w:fldCharType="begin"/>
        </w:r>
        <w:r>
          <w:rPr>
            <w:noProof/>
            <w:webHidden/>
          </w:rPr>
          <w:instrText xml:space="preserve"> PAGEREF _Toc226750185 \h </w:instrText>
        </w:r>
        <w:r>
          <w:rPr>
            <w:noProof/>
            <w:webHidden/>
          </w:rPr>
        </w:r>
        <w:r>
          <w:rPr>
            <w:noProof/>
            <w:webHidden/>
          </w:rPr>
          <w:fldChar w:fldCharType="separate"/>
        </w:r>
        <w:r>
          <w:rPr>
            <w:noProof/>
            <w:webHidden/>
          </w:rPr>
          <w:t>15</w:t>
        </w:r>
        <w:r>
          <w:rPr>
            <w:noProof/>
            <w:webHidden/>
          </w:rPr>
          <w:fldChar w:fldCharType="end"/>
        </w:r>
      </w:hyperlink>
    </w:p>
    <w:p w14:paraId="67CFA79D" w14:textId="1D5B7C9B" w:rsidR="0027526F" w:rsidRDefault="0027526F">
      <w:pPr>
        <w:pStyle w:val="TOC2"/>
        <w:tabs>
          <w:tab w:val="left" w:pos="880"/>
          <w:tab w:val="right" w:leader="dot" w:pos="8630"/>
        </w:tabs>
        <w:rPr>
          <w:noProof/>
          <w:lang w:eastAsia="es-CO"/>
        </w:rPr>
      </w:pPr>
      <w:hyperlink w:anchor="_Toc226750186" w:history="1">
        <w:r w:rsidRPr="001F3AD6">
          <w:rPr>
            <w:rStyle w:val="Hyperlink"/>
            <w:rFonts w:ascii="Times New Roman" w:hAnsi="Times New Roman" w:cs="Times New Roman"/>
            <w:noProof/>
          </w:rPr>
          <w:t>5.2</w:t>
        </w:r>
        <w:r>
          <w:rPr>
            <w:noProof/>
            <w:lang w:eastAsia="es-CO"/>
          </w:rPr>
          <w:tab/>
        </w:r>
        <w:r w:rsidRPr="001F3AD6">
          <w:rPr>
            <w:rStyle w:val="Hyperlink"/>
            <w:rFonts w:ascii="Times New Roman" w:hAnsi="Times New Roman" w:cs="Times New Roman"/>
            <w:noProof/>
          </w:rPr>
          <w:t>Componente 2: Fortalecimiento del marco regulatorio y estratégico para la economía circular</w:t>
        </w:r>
        <w:r>
          <w:rPr>
            <w:noProof/>
            <w:webHidden/>
          </w:rPr>
          <w:tab/>
        </w:r>
        <w:r>
          <w:rPr>
            <w:noProof/>
            <w:webHidden/>
          </w:rPr>
          <w:fldChar w:fldCharType="begin"/>
        </w:r>
        <w:r>
          <w:rPr>
            <w:noProof/>
            <w:webHidden/>
          </w:rPr>
          <w:instrText xml:space="preserve"> PAGEREF _Toc226750186 \h </w:instrText>
        </w:r>
        <w:r>
          <w:rPr>
            <w:noProof/>
            <w:webHidden/>
          </w:rPr>
        </w:r>
        <w:r>
          <w:rPr>
            <w:noProof/>
            <w:webHidden/>
          </w:rPr>
          <w:fldChar w:fldCharType="separate"/>
        </w:r>
        <w:r>
          <w:rPr>
            <w:noProof/>
            <w:webHidden/>
          </w:rPr>
          <w:t>17</w:t>
        </w:r>
        <w:r>
          <w:rPr>
            <w:noProof/>
            <w:webHidden/>
          </w:rPr>
          <w:fldChar w:fldCharType="end"/>
        </w:r>
      </w:hyperlink>
    </w:p>
    <w:p w14:paraId="245E3204" w14:textId="198EB916" w:rsidR="0027526F" w:rsidRDefault="0027526F">
      <w:pPr>
        <w:pStyle w:val="TOC1"/>
        <w:tabs>
          <w:tab w:val="left" w:pos="440"/>
          <w:tab w:val="right" w:leader="dot" w:pos="8630"/>
        </w:tabs>
        <w:rPr>
          <w:noProof/>
          <w:lang w:eastAsia="es-CO"/>
        </w:rPr>
      </w:pPr>
      <w:hyperlink w:anchor="_Toc226750187" w:history="1">
        <w:r w:rsidRPr="001F3AD6">
          <w:rPr>
            <w:rStyle w:val="Hyperlink"/>
            <w:rFonts w:ascii="Times New Roman" w:hAnsi="Times New Roman" w:cs="Times New Roman"/>
            <w:noProof/>
          </w:rPr>
          <w:t>6</w:t>
        </w:r>
        <w:r>
          <w:rPr>
            <w:noProof/>
            <w:lang w:eastAsia="es-CO"/>
          </w:rPr>
          <w:tab/>
        </w:r>
        <w:r w:rsidRPr="001F3AD6">
          <w:rPr>
            <w:rStyle w:val="Hyperlink"/>
            <w:rFonts w:ascii="Times New Roman" w:hAnsi="Times New Roman" w:cs="Times New Roman"/>
            <w:noProof/>
          </w:rPr>
          <w:t>Aplicación de los criterios de evaluación por componente</w:t>
        </w:r>
        <w:r>
          <w:rPr>
            <w:noProof/>
            <w:webHidden/>
          </w:rPr>
          <w:tab/>
        </w:r>
        <w:r>
          <w:rPr>
            <w:noProof/>
            <w:webHidden/>
          </w:rPr>
          <w:fldChar w:fldCharType="begin"/>
        </w:r>
        <w:r>
          <w:rPr>
            <w:noProof/>
            <w:webHidden/>
          </w:rPr>
          <w:instrText xml:space="preserve"> PAGEREF _Toc226750187 \h </w:instrText>
        </w:r>
        <w:r>
          <w:rPr>
            <w:noProof/>
            <w:webHidden/>
          </w:rPr>
        </w:r>
        <w:r>
          <w:rPr>
            <w:noProof/>
            <w:webHidden/>
          </w:rPr>
          <w:fldChar w:fldCharType="separate"/>
        </w:r>
        <w:r>
          <w:rPr>
            <w:noProof/>
            <w:webHidden/>
          </w:rPr>
          <w:t>18</w:t>
        </w:r>
        <w:r>
          <w:rPr>
            <w:noProof/>
            <w:webHidden/>
          </w:rPr>
          <w:fldChar w:fldCharType="end"/>
        </w:r>
      </w:hyperlink>
    </w:p>
    <w:p w14:paraId="4CB18038" w14:textId="157FF431" w:rsidR="0027526F" w:rsidRDefault="0027526F">
      <w:pPr>
        <w:pStyle w:val="TOC2"/>
        <w:tabs>
          <w:tab w:val="left" w:pos="880"/>
          <w:tab w:val="right" w:leader="dot" w:pos="8630"/>
        </w:tabs>
        <w:rPr>
          <w:noProof/>
          <w:lang w:eastAsia="es-CO"/>
        </w:rPr>
      </w:pPr>
      <w:hyperlink w:anchor="_Toc226750188" w:history="1">
        <w:r w:rsidRPr="001F3AD6">
          <w:rPr>
            <w:rStyle w:val="Hyperlink"/>
            <w:rFonts w:ascii="Times New Roman" w:hAnsi="Times New Roman" w:cs="Times New Roman"/>
            <w:noProof/>
          </w:rPr>
          <w:t>6.1</w:t>
        </w:r>
        <w:r>
          <w:rPr>
            <w:noProof/>
            <w:lang w:eastAsia="es-CO"/>
          </w:rPr>
          <w:tab/>
        </w:r>
        <w:r w:rsidRPr="001F3AD6">
          <w:rPr>
            <w:rStyle w:val="Hyperlink"/>
            <w:rFonts w:ascii="Times New Roman" w:hAnsi="Times New Roman" w:cs="Times New Roman"/>
            <w:noProof/>
          </w:rPr>
          <w:t>Componente 1: Diseño y operación de una plataforma de economía circular</w:t>
        </w:r>
        <w:r>
          <w:rPr>
            <w:noProof/>
            <w:webHidden/>
          </w:rPr>
          <w:tab/>
        </w:r>
        <w:r>
          <w:rPr>
            <w:noProof/>
            <w:webHidden/>
          </w:rPr>
          <w:fldChar w:fldCharType="begin"/>
        </w:r>
        <w:r>
          <w:rPr>
            <w:noProof/>
            <w:webHidden/>
          </w:rPr>
          <w:instrText xml:space="preserve"> PAGEREF _Toc226750188 \h </w:instrText>
        </w:r>
        <w:r>
          <w:rPr>
            <w:noProof/>
            <w:webHidden/>
          </w:rPr>
        </w:r>
        <w:r>
          <w:rPr>
            <w:noProof/>
            <w:webHidden/>
          </w:rPr>
          <w:fldChar w:fldCharType="separate"/>
        </w:r>
        <w:r>
          <w:rPr>
            <w:noProof/>
            <w:webHidden/>
          </w:rPr>
          <w:t>18</w:t>
        </w:r>
        <w:r>
          <w:rPr>
            <w:noProof/>
            <w:webHidden/>
          </w:rPr>
          <w:fldChar w:fldCharType="end"/>
        </w:r>
      </w:hyperlink>
    </w:p>
    <w:p w14:paraId="5090CA18" w14:textId="79AC575E" w:rsidR="0027526F" w:rsidRDefault="0027526F">
      <w:pPr>
        <w:pStyle w:val="TOC3"/>
        <w:tabs>
          <w:tab w:val="left" w:pos="1320"/>
          <w:tab w:val="right" w:leader="dot" w:pos="8630"/>
        </w:tabs>
        <w:rPr>
          <w:noProof/>
          <w:lang w:eastAsia="es-CO"/>
        </w:rPr>
      </w:pPr>
      <w:hyperlink w:anchor="_Toc226750189" w:history="1">
        <w:r w:rsidRPr="001F3AD6">
          <w:rPr>
            <w:rStyle w:val="Hyperlink"/>
            <w:rFonts w:ascii="Times New Roman" w:hAnsi="Times New Roman"/>
            <w:noProof/>
          </w:rPr>
          <w:t>6.1.1</w:t>
        </w:r>
        <w:r>
          <w:rPr>
            <w:noProof/>
            <w:lang w:eastAsia="es-CO"/>
          </w:rPr>
          <w:tab/>
        </w:r>
        <w:r w:rsidRPr="001F3AD6">
          <w:rPr>
            <w:rStyle w:val="Hyperlink"/>
            <w:rFonts w:ascii="Times New Roman" w:hAnsi="Times New Roman"/>
            <w:noProof/>
          </w:rPr>
          <w:t>Pertinencia</w:t>
        </w:r>
        <w:r>
          <w:rPr>
            <w:noProof/>
            <w:webHidden/>
          </w:rPr>
          <w:tab/>
        </w:r>
        <w:r>
          <w:rPr>
            <w:noProof/>
            <w:webHidden/>
          </w:rPr>
          <w:fldChar w:fldCharType="begin"/>
        </w:r>
        <w:r>
          <w:rPr>
            <w:noProof/>
            <w:webHidden/>
          </w:rPr>
          <w:instrText xml:space="preserve"> PAGEREF _Toc226750189 \h </w:instrText>
        </w:r>
        <w:r>
          <w:rPr>
            <w:noProof/>
            <w:webHidden/>
          </w:rPr>
        </w:r>
        <w:r>
          <w:rPr>
            <w:noProof/>
            <w:webHidden/>
          </w:rPr>
          <w:fldChar w:fldCharType="separate"/>
        </w:r>
        <w:r>
          <w:rPr>
            <w:noProof/>
            <w:webHidden/>
          </w:rPr>
          <w:t>18</w:t>
        </w:r>
        <w:r>
          <w:rPr>
            <w:noProof/>
            <w:webHidden/>
          </w:rPr>
          <w:fldChar w:fldCharType="end"/>
        </w:r>
      </w:hyperlink>
    </w:p>
    <w:p w14:paraId="5DA5EE2F" w14:textId="662E2E33" w:rsidR="0027526F" w:rsidRDefault="0027526F">
      <w:pPr>
        <w:pStyle w:val="TOC4"/>
        <w:tabs>
          <w:tab w:val="left" w:pos="1540"/>
          <w:tab w:val="right" w:leader="dot" w:pos="8630"/>
        </w:tabs>
        <w:rPr>
          <w:noProof/>
          <w:lang w:eastAsia="es-CO"/>
        </w:rPr>
      </w:pPr>
      <w:hyperlink w:anchor="_Toc226750190" w:history="1">
        <w:r w:rsidRPr="001F3AD6">
          <w:rPr>
            <w:rStyle w:val="Hyperlink"/>
            <w:rFonts w:ascii="Times New Roman" w:hAnsi="Times New Roman"/>
            <w:noProof/>
          </w:rPr>
          <w:t>6.1.1.1</w:t>
        </w:r>
        <w:r>
          <w:rPr>
            <w:noProof/>
            <w:lang w:eastAsia="es-CO"/>
          </w:rPr>
          <w:tab/>
        </w:r>
        <w:r w:rsidRPr="001F3AD6">
          <w:rPr>
            <w:rStyle w:val="Hyperlink"/>
            <w:rFonts w:ascii="Times New Roman" w:hAnsi="Times New Roman"/>
            <w:noProof/>
          </w:rPr>
          <w:t>Adecuación de la intervención a los contextos urbanos y sectoriales de cada ciudad</w:t>
        </w:r>
        <w:r>
          <w:rPr>
            <w:noProof/>
            <w:webHidden/>
          </w:rPr>
          <w:tab/>
        </w:r>
        <w:r>
          <w:rPr>
            <w:noProof/>
            <w:webHidden/>
          </w:rPr>
          <w:fldChar w:fldCharType="begin"/>
        </w:r>
        <w:r>
          <w:rPr>
            <w:noProof/>
            <w:webHidden/>
          </w:rPr>
          <w:instrText xml:space="preserve"> PAGEREF _Toc226750190 \h </w:instrText>
        </w:r>
        <w:r>
          <w:rPr>
            <w:noProof/>
            <w:webHidden/>
          </w:rPr>
        </w:r>
        <w:r>
          <w:rPr>
            <w:noProof/>
            <w:webHidden/>
          </w:rPr>
          <w:fldChar w:fldCharType="separate"/>
        </w:r>
        <w:r>
          <w:rPr>
            <w:noProof/>
            <w:webHidden/>
          </w:rPr>
          <w:t>18</w:t>
        </w:r>
        <w:r>
          <w:rPr>
            <w:noProof/>
            <w:webHidden/>
          </w:rPr>
          <w:fldChar w:fldCharType="end"/>
        </w:r>
      </w:hyperlink>
    </w:p>
    <w:p w14:paraId="41AF5764" w14:textId="13D644A3" w:rsidR="0027526F" w:rsidRDefault="0027526F">
      <w:pPr>
        <w:pStyle w:val="TOC5"/>
        <w:tabs>
          <w:tab w:val="left" w:pos="1870"/>
          <w:tab w:val="right" w:leader="dot" w:pos="8630"/>
        </w:tabs>
        <w:rPr>
          <w:noProof/>
          <w:lang w:eastAsia="es-CO"/>
        </w:rPr>
      </w:pPr>
      <w:hyperlink w:anchor="_Toc226750191" w:history="1">
        <w:r w:rsidRPr="001F3AD6">
          <w:rPr>
            <w:rStyle w:val="Hyperlink"/>
            <w:rFonts w:ascii="Times New Roman" w:hAnsi="Times New Roman"/>
            <w:noProof/>
          </w:rPr>
          <w:t>6.1.1.1.1</w:t>
        </w:r>
        <w:r>
          <w:rPr>
            <w:noProof/>
            <w:lang w:eastAsia="es-CO"/>
          </w:rPr>
          <w:tab/>
        </w:r>
        <w:r w:rsidRPr="001F3AD6">
          <w:rPr>
            <w:rStyle w:val="Hyperlink"/>
            <w:rFonts w:ascii="Times New Roman" w:hAnsi="Times New Roman"/>
            <w:noProof/>
          </w:rPr>
          <w:t>Plataforma digital de alcance regional</w:t>
        </w:r>
        <w:r>
          <w:rPr>
            <w:noProof/>
            <w:webHidden/>
          </w:rPr>
          <w:tab/>
        </w:r>
        <w:r>
          <w:rPr>
            <w:noProof/>
            <w:webHidden/>
          </w:rPr>
          <w:fldChar w:fldCharType="begin"/>
        </w:r>
        <w:r>
          <w:rPr>
            <w:noProof/>
            <w:webHidden/>
          </w:rPr>
          <w:instrText xml:space="preserve"> PAGEREF _Toc226750191 \h </w:instrText>
        </w:r>
        <w:r>
          <w:rPr>
            <w:noProof/>
            <w:webHidden/>
          </w:rPr>
        </w:r>
        <w:r>
          <w:rPr>
            <w:noProof/>
            <w:webHidden/>
          </w:rPr>
          <w:fldChar w:fldCharType="separate"/>
        </w:r>
        <w:r>
          <w:rPr>
            <w:noProof/>
            <w:webHidden/>
          </w:rPr>
          <w:t>18</w:t>
        </w:r>
        <w:r>
          <w:rPr>
            <w:noProof/>
            <w:webHidden/>
          </w:rPr>
          <w:fldChar w:fldCharType="end"/>
        </w:r>
      </w:hyperlink>
    </w:p>
    <w:p w14:paraId="7EB87AC1" w14:textId="6F14B8D7" w:rsidR="0027526F" w:rsidRDefault="0027526F">
      <w:pPr>
        <w:pStyle w:val="TOC5"/>
        <w:tabs>
          <w:tab w:val="left" w:pos="1870"/>
          <w:tab w:val="right" w:leader="dot" w:pos="8630"/>
        </w:tabs>
        <w:rPr>
          <w:noProof/>
          <w:lang w:eastAsia="es-CO"/>
        </w:rPr>
      </w:pPr>
      <w:hyperlink w:anchor="_Toc226750192" w:history="1">
        <w:r w:rsidRPr="001F3AD6">
          <w:rPr>
            <w:rStyle w:val="Hyperlink"/>
            <w:rFonts w:ascii="Times New Roman" w:hAnsi="Times New Roman"/>
            <w:noProof/>
          </w:rPr>
          <w:t>6.1.1.1.2</w:t>
        </w:r>
        <w:r>
          <w:rPr>
            <w:noProof/>
            <w:lang w:eastAsia="es-CO"/>
          </w:rPr>
          <w:tab/>
        </w:r>
        <w:r w:rsidRPr="001F3AD6">
          <w:rPr>
            <w:rStyle w:val="Hyperlink"/>
            <w:rFonts w:ascii="Times New Roman" w:hAnsi="Times New Roman"/>
            <w:noProof/>
          </w:rPr>
          <w:t>Sistema de indicadores</w:t>
        </w:r>
        <w:r>
          <w:rPr>
            <w:noProof/>
            <w:webHidden/>
          </w:rPr>
          <w:tab/>
        </w:r>
        <w:r>
          <w:rPr>
            <w:noProof/>
            <w:webHidden/>
          </w:rPr>
          <w:fldChar w:fldCharType="begin"/>
        </w:r>
        <w:r>
          <w:rPr>
            <w:noProof/>
            <w:webHidden/>
          </w:rPr>
          <w:instrText xml:space="preserve"> PAGEREF _Toc226750192 \h </w:instrText>
        </w:r>
        <w:r>
          <w:rPr>
            <w:noProof/>
            <w:webHidden/>
          </w:rPr>
        </w:r>
        <w:r>
          <w:rPr>
            <w:noProof/>
            <w:webHidden/>
          </w:rPr>
          <w:fldChar w:fldCharType="separate"/>
        </w:r>
        <w:r>
          <w:rPr>
            <w:noProof/>
            <w:webHidden/>
          </w:rPr>
          <w:t>19</w:t>
        </w:r>
        <w:r>
          <w:rPr>
            <w:noProof/>
            <w:webHidden/>
          </w:rPr>
          <w:fldChar w:fldCharType="end"/>
        </w:r>
      </w:hyperlink>
    </w:p>
    <w:p w14:paraId="064A3FBE" w14:textId="7F349A40" w:rsidR="0027526F" w:rsidRDefault="0027526F">
      <w:pPr>
        <w:pStyle w:val="TOC4"/>
        <w:tabs>
          <w:tab w:val="left" w:pos="1540"/>
          <w:tab w:val="right" w:leader="dot" w:pos="8630"/>
        </w:tabs>
        <w:rPr>
          <w:noProof/>
          <w:lang w:eastAsia="es-CO"/>
        </w:rPr>
      </w:pPr>
      <w:hyperlink w:anchor="_Toc226750193" w:history="1">
        <w:r w:rsidRPr="001F3AD6">
          <w:rPr>
            <w:rStyle w:val="Hyperlink"/>
            <w:rFonts w:ascii="Times New Roman" w:hAnsi="Times New Roman"/>
            <w:noProof/>
          </w:rPr>
          <w:t>6.1.1.2</w:t>
        </w:r>
        <w:r>
          <w:rPr>
            <w:noProof/>
            <w:lang w:eastAsia="es-CO"/>
          </w:rPr>
          <w:tab/>
        </w:r>
        <w:r w:rsidRPr="001F3AD6">
          <w:rPr>
            <w:rStyle w:val="Hyperlink"/>
            <w:rFonts w:ascii="Times New Roman" w:hAnsi="Times New Roman"/>
            <w:noProof/>
          </w:rPr>
          <w:t>Relevancia frente a las prioridades locales y regionales de sostenibilidad.</w:t>
        </w:r>
        <w:r>
          <w:rPr>
            <w:noProof/>
            <w:webHidden/>
          </w:rPr>
          <w:tab/>
        </w:r>
        <w:r>
          <w:rPr>
            <w:noProof/>
            <w:webHidden/>
          </w:rPr>
          <w:fldChar w:fldCharType="begin"/>
        </w:r>
        <w:r>
          <w:rPr>
            <w:noProof/>
            <w:webHidden/>
          </w:rPr>
          <w:instrText xml:space="preserve"> PAGEREF _Toc226750193 \h </w:instrText>
        </w:r>
        <w:r>
          <w:rPr>
            <w:noProof/>
            <w:webHidden/>
          </w:rPr>
        </w:r>
        <w:r>
          <w:rPr>
            <w:noProof/>
            <w:webHidden/>
          </w:rPr>
          <w:fldChar w:fldCharType="separate"/>
        </w:r>
        <w:r>
          <w:rPr>
            <w:noProof/>
            <w:webHidden/>
          </w:rPr>
          <w:t>20</w:t>
        </w:r>
        <w:r>
          <w:rPr>
            <w:noProof/>
            <w:webHidden/>
          </w:rPr>
          <w:fldChar w:fldCharType="end"/>
        </w:r>
      </w:hyperlink>
    </w:p>
    <w:p w14:paraId="697C18CA" w14:textId="5576C2EC" w:rsidR="0027526F" w:rsidRDefault="0027526F">
      <w:pPr>
        <w:pStyle w:val="TOC5"/>
        <w:tabs>
          <w:tab w:val="left" w:pos="1870"/>
          <w:tab w:val="right" w:leader="dot" w:pos="8630"/>
        </w:tabs>
        <w:rPr>
          <w:noProof/>
          <w:lang w:eastAsia="es-CO"/>
        </w:rPr>
      </w:pPr>
      <w:hyperlink w:anchor="_Toc226750194" w:history="1">
        <w:r w:rsidRPr="001F3AD6">
          <w:rPr>
            <w:rStyle w:val="Hyperlink"/>
            <w:rFonts w:ascii="Times New Roman" w:hAnsi="Times New Roman"/>
            <w:noProof/>
          </w:rPr>
          <w:t>6.1.1.2.1</w:t>
        </w:r>
        <w:r>
          <w:rPr>
            <w:noProof/>
            <w:lang w:eastAsia="es-CO"/>
          </w:rPr>
          <w:tab/>
        </w:r>
        <w:r w:rsidRPr="001F3AD6">
          <w:rPr>
            <w:rStyle w:val="Hyperlink"/>
            <w:rFonts w:ascii="Times New Roman" w:hAnsi="Times New Roman"/>
            <w:noProof/>
          </w:rPr>
          <w:t>Plataforma digital de alcance regional</w:t>
        </w:r>
        <w:r>
          <w:rPr>
            <w:noProof/>
            <w:webHidden/>
          </w:rPr>
          <w:tab/>
        </w:r>
        <w:r>
          <w:rPr>
            <w:noProof/>
            <w:webHidden/>
          </w:rPr>
          <w:fldChar w:fldCharType="begin"/>
        </w:r>
        <w:r>
          <w:rPr>
            <w:noProof/>
            <w:webHidden/>
          </w:rPr>
          <w:instrText xml:space="preserve"> PAGEREF _Toc226750194 \h </w:instrText>
        </w:r>
        <w:r>
          <w:rPr>
            <w:noProof/>
            <w:webHidden/>
          </w:rPr>
        </w:r>
        <w:r>
          <w:rPr>
            <w:noProof/>
            <w:webHidden/>
          </w:rPr>
          <w:fldChar w:fldCharType="separate"/>
        </w:r>
        <w:r>
          <w:rPr>
            <w:noProof/>
            <w:webHidden/>
          </w:rPr>
          <w:t>20</w:t>
        </w:r>
        <w:r>
          <w:rPr>
            <w:noProof/>
            <w:webHidden/>
          </w:rPr>
          <w:fldChar w:fldCharType="end"/>
        </w:r>
      </w:hyperlink>
    </w:p>
    <w:p w14:paraId="58CFE322" w14:textId="73590B7D" w:rsidR="0027526F" w:rsidRDefault="0027526F">
      <w:pPr>
        <w:pStyle w:val="TOC5"/>
        <w:tabs>
          <w:tab w:val="left" w:pos="1870"/>
          <w:tab w:val="right" w:leader="dot" w:pos="8630"/>
        </w:tabs>
        <w:rPr>
          <w:noProof/>
          <w:lang w:eastAsia="es-CO"/>
        </w:rPr>
      </w:pPr>
      <w:hyperlink w:anchor="_Toc226750195" w:history="1">
        <w:r w:rsidRPr="001F3AD6">
          <w:rPr>
            <w:rStyle w:val="Hyperlink"/>
            <w:rFonts w:ascii="Times New Roman" w:hAnsi="Times New Roman"/>
            <w:noProof/>
          </w:rPr>
          <w:t>6.1.1.2.2</w:t>
        </w:r>
        <w:r>
          <w:rPr>
            <w:noProof/>
            <w:lang w:eastAsia="es-CO"/>
          </w:rPr>
          <w:tab/>
        </w:r>
        <w:r w:rsidRPr="001F3AD6">
          <w:rPr>
            <w:rStyle w:val="Hyperlink"/>
            <w:rFonts w:ascii="Times New Roman" w:hAnsi="Times New Roman"/>
            <w:noProof/>
          </w:rPr>
          <w:t>Sistema de indicadores</w:t>
        </w:r>
        <w:r>
          <w:rPr>
            <w:noProof/>
            <w:webHidden/>
          </w:rPr>
          <w:tab/>
        </w:r>
        <w:r>
          <w:rPr>
            <w:noProof/>
            <w:webHidden/>
          </w:rPr>
          <w:fldChar w:fldCharType="begin"/>
        </w:r>
        <w:r>
          <w:rPr>
            <w:noProof/>
            <w:webHidden/>
          </w:rPr>
          <w:instrText xml:space="preserve"> PAGEREF _Toc226750195 \h </w:instrText>
        </w:r>
        <w:r>
          <w:rPr>
            <w:noProof/>
            <w:webHidden/>
          </w:rPr>
        </w:r>
        <w:r>
          <w:rPr>
            <w:noProof/>
            <w:webHidden/>
          </w:rPr>
          <w:fldChar w:fldCharType="separate"/>
        </w:r>
        <w:r>
          <w:rPr>
            <w:noProof/>
            <w:webHidden/>
          </w:rPr>
          <w:t>21</w:t>
        </w:r>
        <w:r>
          <w:rPr>
            <w:noProof/>
            <w:webHidden/>
          </w:rPr>
          <w:fldChar w:fldCharType="end"/>
        </w:r>
      </w:hyperlink>
    </w:p>
    <w:p w14:paraId="3A4982D1" w14:textId="470D9E89" w:rsidR="0027526F" w:rsidRDefault="0027526F">
      <w:pPr>
        <w:pStyle w:val="TOC4"/>
        <w:tabs>
          <w:tab w:val="left" w:pos="1540"/>
          <w:tab w:val="right" w:leader="dot" w:pos="8630"/>
        </w:tabs>
        <w:rPr>
          <w:noProof/>
          <w:lang w:eastAsia="es-CO"/>
        </w:rPr>
      </w:pPr>
      <w:hyperlink w:anchor="_Toc226750196" w:history="1">
        <w:r w:rsidRPr="001F3AD6">
          <w:rPr>
            <w:rStyle w:val="Hyperlink"/>
            <w:rFonts w:ascii="Times New Roman" w:hAnsi="Times New Roman"/>
            <w:noProof/>
          </w:rPr>
          <w:t>6.1.1.3</w:t>
        </w:r>
        <w:r>
          <w:rPr>
            <w:noProof/>
            <w:lang w:eastAsia="es-CO"/>
          </w:rPr>
          <w:tab/>
        </w:r>
        <w:r w:rsidRPr="001F3AD6">
          <w:rPr>
            <w:rStyle w:val="Hyperlink"/>
            <w:rFonts w:ascii="Times New Roman" w:hAnsi="Times New Roman"/>
            <w:noProof/>
          </w:rPr>
          <w:t>Percepciones de los actores</w:t>
        </w:r>
        <w:r>
          <w:rPr>
            <w:noProof/>
            <w:webHidden/>
          </w:rPr>
          <w:tab/>
        </w:r>
        <w:r>
          <w:rPr>
            <w:noProof/>
            <w:webHidden/>
          </w:rPr>
          <w:fldChar w:fldCharType="begin"/>
        </w:r>
        <w:r>
          <w:rPr>
            <w:noProof/>
            <w:webHidden/>
          </w:rPr>
          <w:instrText xml:space="preserve"> PAGEREF _Toc226750196 \h </w:instrText>
        </w:r>
        <w:r>
          <w:rPr>
            <w:noProof/>
            <w:webHidden/>
          </w:rPr>
        </w:r>
        <w:r>
          <w:rPr>
            <w:noProof/>
            <w:webHidden/>
          </w:rPr>
          <w:fldChar w:fldCharType="separate"/>
        </w:r>
        <w:r>
          <w:rPr>
            <w:noProof/>
            <w:webHidden/>
          </w:rPr>
          <w:t>23</w:t>
        </w:r>
        <w:r>
          <w:rPr>
            <w:noProof/>
            <w:webHidden/>
          </w:rPr>
          <w:fldChar w:fldCharType="end"/>
        </w:r>
      </w:hyperlink>
    </w:p>
    <w:p w14:paraId="312C623F" w14:textId="5E8ADCD6" w:rsidR="0027526F" w:rsidRDefault="0027526F">
      <w:pPr>
        <w:pStyle w:val="TOC3"/>
        <w:tabs>
          <w:tab w:val="left" w:pos="1320"/>
          <w:tab w:val="right" w:leader="dot" w:pos="8630"/>
        </w:tabs>
        <w:rPr>
          <w:noProof/>
          <w:lang w:eastAsia="es-CO"/>
        </w:rPr>
      </w:pPr>
      <w:hyperlink w:anchor="_Toc226750197" w:history="1">
        <w:r w:rsidRPr="001F3AD6">
          <w:rPr>
            <w:rStyle w:val="Hyperlink"/>
            <w:rFonts w:ascii="Times New Roman" w:hAnsi="Times New Roman"/>
            <w:noProof/>
          </w:rPr>
          <w:t>6.1.2</w:t>
        </w:r>
        <w:r>
          <w:rPr>
            <w:noProof/>
            <w:lang w:eastAsia="es-CO"/>
          </w:rPr>
          <w:tab/>
        </w:r>
        <w:r w:rsidRPr="001F3AD6">
          <w:rPr>
            <w:rStyle w:val="Hyperlink"/>
            <w:rFonts w:ascii="Times New Roman" w:hAnsi="Times New Roman"/>
            <w:noProof/>
          </w:rPr>
          <w:t>Coherencia</w:t>
        </w:r>
        <w:r>
          <w:rPr>
            <w:noProof/>
            <w:webHidden/>
          </w:rPr>
          <w:tab/>
        </w:r>
        <w:r>
          <w:rPr>
            <w:noProof/>
            <w:webHidden/>
          </w:rPr>
          <w:fldChar w:fldCharType="begin"/>
        </w:r>
        <w:r>
          <w:rPr>
            <w:noProof/>
            <w:webHidden/>
          </w:rPr>
          <w:instrText xml:space="preserve"> PAGEREF _Toc226750197 \h </w:instrText>
        </w:r>
        <w:r>
          <w:rPr>
            <w:noProof/>
            <w:webHidden/>
          </w:rPr>
        </w:r>
        <w:r>
          <w:rPr>
            <w:noProof/>
            <w:webHidden/>
          </w:rPr>
          <w:fldChar w:fldCharType="separate"/>
        </w:r>
        <w:r>
          <w:rPr>
            <w:noProof/>
            <w:webHidden/>
          </w:rPr>
          <w:t>27</w:t>
        </w:r>
        <w:r>
          <w:rPr>
            <w:noProof/>
            <w:webHidden/>
          </w:rPr>
          <w:fldChar w:fldCharType="end"/>
        </w:r>
      </w:hyperlink>
    </w:p>
    <w:p w14:paraId="0EC1C7F5" w14:textId="60639D10" w:rsidR="0027526F" w:rsidRDefault="0027526F">
      <w:pPr>
        <w:pStyle w:val="TOC4"/>
        <w:tabs>
          <w:tab w:val="left" w:pos="1540"/>
          <w:tab w:val="right" w:leader="dot" w:pos="8630"/>
        </w:tabs>
        <w:rPr>
          <w:noProof/>
          <w:lang w:eastAsia="es-CO"/>
        </w:rPr>
      </w:pPr>
      <w:hyperlink w:anchor="_Toc226750198" w:history="1">
        <w:r w:rsidRPr="001F3AD6">
          <w:rPr>
            <w:rStyle w:val="Hyperlink"/>
            <w:rFonts w:ascii="Times New Roman" w:hAnsi="Times New Roman"/>
            <w:noProof/>
          </w:rPr>
          <w:t>6.1.2.1</w:t>
        </w:r>
        <w:r>
          <w:rPr>
            <w:noProof/>
            <w:lang w:eastAsia="es-CO"/>
          </w:rPr>
          <w:tab/>
        </w:r>
        <w:r w:rsidRPr="001F3AD6">
          <w:rPr>
            <w:rStyle w:val="Hyperlink"/>
            <w:rFonts w:ascii="Times New Roman" w:hAnsi="Times New Roman"/>
            <w:noProof/>
          </w:rPr>
          <w:t>Evaluación del alineamiento entre los objetivos, actividades, productos y resultados</w:t>
        </w:r>
        <w:r>
          <w:rPr>
            <w:noProof/>
            <w:webHidden/>
          </w:rPr>
          <w:tab/>
        </w:r>
        <w:r>
          <w:rPr>
            <w:noProof/>
            <w:webHidden/>
          </w:rPr>
          <w:fldChar w:fldCharType="begin"/>
        </w:r>
        <w:r>
          <w:rPr>
            <w:noProof/>
            <w:webHidden/>
          </w:rPr>
          <w:instrText xml:space="preserve"> PAGEREF _Toc226750198 \h </w:instrText>
        </w:r>
        <w:r>
          <w:rPr>
            <w:noProof/>
            <w:webHidden/>
          </w:rPr>
        </w:r>
        <w:r>
          <w:rPr>
            <w:noProof/>
            <w:webHidden/>
          </w:rPr>
          <w:fldChar w:fldCharType="separate"/>
        </w:r>
        <w:r>
          <w:rPr>
            <w:noProof/>
            <w:webHidden/>
          </w:rPr>
          <w:t>27</w:t>
        </w:r>
        <w:r>
          <w:rPr>
            <w:noProof/>
            <w:webHidden/>
          </w:rPr>
          <w:fldChar w:fldCharType="end"/>
        </w:r>
      </w:hyperlink>
    </w:p>
    <w:p w14:paraId="3B20B6E7" w14:textId="2911091F" w:rsidR="0027526F" w:rsidRDefault="0027526F">
      <w:pPr>
        <w:pStyle w:val="TOC4"/>
        <w:tabs>
          <w:tab w:val="left" w:pos="1540"/>
          <w:tab w:val="right" w:leader="dot" w:pos="8630"/>
        </w:tabs>
        <w:rPr>
          <w:noProof/>
          <w:lang w:eastAsia="es-CO"/>
        </w:rPr>
      </w:pPr>
      <w:hyperlink w:anchor="_Toc226750199" w:history="1">
        <w:r w:rsidRPr="001F3AD6">
          <w:rPr>
            <w:rStyle w:val="Hyperlink"/>
            <w:rFonts w:ascii="Times New Roman" w:hAnsi="Times New Roman"/>
            <w:noProof/>
          </w:rPr>
          <w:t>6.1.2.2</w:t>
        </w:r>
        <w:r>
          <w:rPr>
            <w:noProof/>
            <w:lang w:eastAsia="es-CO"/>
          </w:rPr>
          <w:tab/>
        </w:r>
        <w:r w:rsidRPr="001F3AD6">
          <w:rPr>
            <w:rStyle w:val="Hyperlink"/>
            <w:rFonts w:ascii="Times New Roman" w:hAnsi="Times New Roman"/>
            <w:noProof/>
          </w:rPr>
          <w:t>Articulación entre los componentes y actores institucionales</w:t>
        </w:r>
        <w:r>
          <w:rPr>
            <w:noProof/>
            <w:webHidden/>
          </w:rPr>
          <w:tab/>
        </w:r>
        <w:r>
          <w:rPr>
            <w:noProof/>
            <w:webHidden/>
          </w:rPr>
          <w:fldChar w:fldCharType="begin"/>
        </w:r>
        <w:r>
          <w:rPr>
            <w:noProof/>
            <w:webHidden/>
          </w:rPr>
          <w:instrText xml:space="preserve"> PAGEREF _Toc226750199 \h </w:instrText>
        </w:r>
        <w:r>
          <w:rPr>
            <w:noProof/>
            <w:webHidden/>
          </w:rPr>
        </w:r>
        <w:r>
          <w:rPr>
            <w:noProof/>
            <w:webHidden/>
          </w:rPr>
          <w:fldChar w:fldCharType="separate"/>
        </w:r>
        <w:r>
          <w:rPr>
            <w:noProof/>
            <w:webHidden/>
          </w:rPr>
          <w:t>30</w:t>
        </w:r>
        <w:r>
          <w:rPr>
            <w:noProof/>
            <w:webHidden/>
          </w:rPr>
          <w:fldChar w:fldCharType="end"/>
        </w:r>
      </w:hyperlink>
    </w:p>
    <w:p w14:paraId="71159EE5" w14:textId="46BD1984" w:rsidR="0027526F" w:rsidRDefault="0027526F">
      <w:pPr>
        <w:pStyle w:val="TOC4"/>
        <w:tabs>
          <w:tab w:val="left" w:pos="1540"/>
          <w:tab w:val="right" w:leader="dot" w:pos="8630"/>
        </w:tabs>
        <w:rPr>
          <w:noProof/>
          <w:lang w:eastAsia="es-CO"/>
        </w:rPr>
      </w:pPr>
      <w:hyperlink w:anchor="_Toc226750200" w:history="1">
        <w:r w:rsidRPr="001F3AD6">
          <w:rPr>
            <w:rStyle w:val="Hyperlink"/>
            <w:rFonts w:ascii="Times New Roman" w:hAnsi="Times New Roman"/>
            <w:noProof/>
          </w:rPr>
          <w:t>6.1.2.3</w:t>
        </w:r>
        <w:r>
          <w:rPr>
            <w:noProof/>
            <w:lang w:eastAsia="es-CO"/>
          </w:rPr>
          <w:tab/>
        </w:r>
        <w:r w:rsidRPr="001F3AD6">
          <w:rPr>
            <w:rStyle w:val="Hyperlink"/>
            <w:rFonts w:ascii="Times New Roman" w:hAnsi="Times New Roman"/>
            <w:noProof/>
          </w:rPr>
          <w:t>Percepciones de los actores</w:t>
        </w:r>
        <w:r>
          <w:rPr>
            <w:noProof/>
            <w:webHidden/>
          </w:rPr>
          <w:tab/>
        </w:r>
        <w:r>
          <w:rPr>
            <w:noProof/>
            <w:webHidden/>
          </w:rPr>
          <w:fldChar w:fldCharType="begin"/>
        </w:r>
        <w:r>
          <w:rPr>
            <w:noProof/>
            <w:webHidden/>
          </w:rPr>
          <w:instrText xml:space="preserve"> PAGEREF _Toc226750200 \h </w:instrText>
        </w:r>
        <w:r>
          <w:rPr>
            <w:noProof/>
            <w:webHidden/>
          </w:rPr>
        </w:r>
        <w:r>
          <w:rPr>
            <w:noProof/>
            <w:webHidden/>
          </w:rPr>
          <w:fldChar w:fldCharType="separate"/>
        </w:r>
        <w:r>
          <w:rPr>
            <w:noProof/>
            <w:webHidden/>
          </w:rPr>
          <w:t>30</w:t>
        </w:r>
        <w:r>
          <w:rPr>
            <w:noProof/>
            <w:webHidden/>
          </w:rPr>
          <w:fldChar w:fldCharType="end"/>
        </w:r>
      </w:hyperlink>
    </w:p>
    <w:p w14:paraId="657DB55E" w14:textId="797C9000" w:rsidR="0027526F" w:rsidRDefault="0027526F">
      <w:pPr>
        <w:pStyle w:val="TOC3"/>
        <w:tabs>
          <w:tab w:val="left" w:pos="1320"/>
          <w:tab w:val="right" w:leader="dot" w:pos="8630"/>
        </w:tabs>
        <w:rPr>
          <w:noProof/>
          <w:lang w:eastAsia="es-CO"/>
        </w:rPr>
      </w:pPr>
      <w:hyperlink w:anchor="_Toc226750201" w:history="1">
        <w:r w:rsidRPr="001F3AD6">
          <w:rPr>
            <w:rStyle w:val="Hyperlink"/>
            <w:rFonts w:ascii="Times New Roman" w:hAnsi="Times New Roman"/>
            <w:noProof/>
          </w:rPr>
          <w:t>6.1.3</w:t>
        </w:r>
        <w:r>
          <w:rPr>
            <w:noProof/>
            <w:lang w:eastAsia="es-CO"/>
          </w:rPr>
          <w:tab/>
        </w:r>
        <w:r w:rsidRPr="001F3AD6">
          <w:rPr>
            <w:rStyle w:val="Hyperlink"/>
            <w:rFonts w:ascii="Times New Roman" w:hAnsi="Times New Roman"/>
            <w:noProof/>
          </w:rPr>
          <w:t>Cumplimiento</w:t>
        </w:r>
        <w:r>
          <w:rPr>
            <w:noProof/>
            <w:webHidden/>
          </w:rPr>
          <w:tab/>
        </w:r>
        <w:r>
          <w:rPr>
            <w:noProof/>
            <w:webHidden/>
          </w:rPr>
          <w:fldChar w:fldCharType="begin"/>
        </w:r>
        <w:r>
          <w:rPr>
            <w:noProof/>
            <w:webHidden/>
          </w:rPr>
          <w:instrText xml:space="preserve"> PAGEREF _Toc226750201 \h </w:instrText>
        </w:r>
        <w:r>
          <w:rPr>
            <w:noProof/>
            <w:webHidden/>
          </w:rPr>
        </w:r>
        <w:r>
          <w:rPr>
            <w:noProof/>
            <w:webHidden/>
          </w:rPr>
          <w:fldChar w:fldCharType="separate"/>
        </w:r>
        <w:r>
          <w:rPr>
            <w:noProof/>
            <w:webHidden/>
          </w:rPr>
          <w:t>31</w:t>
        </w:r>
        <w:r>
          <w:rPr>
            <w:noProof/>
            <w:webHidden/>
          </w:rPr>
          <w:fldChar w:fldCharType="end"/>
        </w:r>
      </w:hyperlink>
    </w:p>
    <w:p w14:paraId="22A3D2DB" w14:textId="61C2183D" w:rsidR="0027526F" w:rsidRDefault="0027526F">
      <w:pPr>
        <w:pStyle w:val="TOC4"/>
        <w:tabs>
          <w:tab w:val="left" w:pos="1540"/>
          <w:tab w:val="right" w:leader="dot" w:pos="8630"/>
        </w:tabs>
        <w:rPr>
          <w:noProof/>
          <w:lang w:eastAsia="es-CO"/>
        </w:rPr>
      </w:pPr>
      <w:hyperlink w:anchor="_Toc226750202" w:history="1">
        <w:r w:rsidRPr="001F3AD6">
          <w:rPr>
            <w:rStyle w:val="Hyperlink"/>
            <w:rFonts w:ascii="Times New Roman" w:hAnsi="Times New Roman"/>
            <w:noProof/>
          </w:rPr>
          <w:t>6.1.3.1</w:t>
        </w:r>
        <w:r>
          <w:rPr>
            <w:noProof/>
            <w:lang w:eastAsia="es-CO"/>
          </w:rPr>
          <w:tab/>
        </w:r>
        <w:r w:rsidRPr="001F3AD6">
          <w:rPr>
            <w:rStyle w:val="Hyperlink"/>
            <w:rFonts w:ascii="Times New Roman" w:hAnsi="Times New Roman"/>
            <w:noProof/>
          </w:rPr>
          <w:t>Nivel de logro de metas e indicadores previstos en el convenio.</w:t>
        </w:r>
        <w:r>
          <w:rPr>
            <w:noProof/>
            <w:webHidden/>
          </w:rPr>
          <w:tab/>
        </w:r>
        <w:r>
          <w:rPr>
            <w:noProof/>
            <w:webHidden/>
          </w:rPr>
          <w:fldChar w:fldCharType="begin"/>
        </w:r>
        <w:r>
          <w:rPr>
            <w:noProof/>
            <w:webHidden/>
          </w:rPr>
          <w:instrText xml:space="preserve"> PAGEREF _Toc226750202 \h </w:instrText>
        </w:r>
        <w:r>
          <w:rPr>
            <w:noProof/>
            <w:webHidden/>
          </w:rPr>
        </w:r>
        <w:r>
          <w:rPr>
            <w:noProof/>
            <w:webHidden/>
          </w:rPr>
          <w:fldChar w:fldCharType="separate"/>
        </w:r>
        <w:r>
          <w:rPr>
            <w:noProof/>
            <w:webHidden/>
          </w:rPr>
          <w:t>31</w:t>
        </w:r>
        <w:r>
          <w:rPr>
            <w:noProof/>
            <w:webHidden/>
          </w:rPr>
          <w:fldChar w:fldCharType="end"/>
        </w:r>
      </w:hyperlink>
    </w:p>
    <w:p w14:paraId="01DCF121" w14:textId="7006B53A" w:rsidR="0027526F" w:rsidRDefault="0027526F">
      <w:pPr>
        <w:pStyle w:val="TOC4"/>
        <w:tabs>
          <w:tab w:val="left" w:pos="1540"/>
          <w:tab w:val="right" w:leader="dot" w:pos="8630"/>
        </w:tabs>
        <w:rPr>
          <w:noProof/>
          <w:lang w:eastAsia="es-CO"/>
        </w:rPr>
      </w:pPr>
      <w:hyperlink w:anchor="_Toc226750203" w:history="1">
        <w:r w:rsidRPr="001F3AD6">
          <w:rPr>
            <w:rStyle w:val="Hyperlink"/>
            <w:rFonts w:ascii="Times New Roman" w:hAnsi="Times New Roman"/>
            <w:noProof/>
          </w:rPr>
          <w:t>6.1.3.2</w:t>
        </w:r>
        <w:r>
          <w:rPr>
            <w:noProof/>
            <w:lang w:eastAsia="es-CO"/>
          </w:rPr>
          <w:tab/>
        </w:r>
        <w:r w:rsidRPr="001F3AD6">
          <w:rPr>
            <w:rStyle w:val="Hyperlink"/>
            <w:rFonts w:ascii="Times New Roman" w:hAnsi="Times New Roman"/>
            <w:noProof/>
          </w:rPr>
          <w:t>Revisión de evidencias y productos técnicos entregados.</w:t>
        </w:r>
        <w:r>
          <w:rPr>
            <w:noProof/>
            <w:webHidden/>
          </w:rPr>
          <w:tab/>
        </w:r>
        <w:r>
          <w:rPr>
            <w:noProof/>
            <w:webHidden/>
          </w:rPr>
          <w:fldChar w:fldCharType="begin"/>
        </w:r>
        <w:r>
          <w:rPr>
            <w:noProof/>
            <w:webHidden/>
          </w:rPr>
          <w:instrText xml:space="preserve"> PAGEREF _Toc226750203 \h </w:instrText>
        </w:r>
        <w:r>
          <w:rPr>
            <w:noProof/>
            <w:webHidden/>
          </w:rPr>
        </w:r>
        <w:r>
          <w:rPr>
            <w:noProof/>
            <w:webHidden/>
          </w:rPr>
          <w:fldChar w:fldCharType="separate"/>
        </w:r>
        <w:r>
          <w:rPr>
            <w:noProof/>
            <w:webHidden/>
          </w:rPr>
          <w:t>33</w:t>
        </w:r>
        <w:r>
          <w:rPr>
            <w:noProof/>
            <w:webHidden/>
          </w:rPr>
          <w:fldChar w:fldCharType="end"/>
        </w:r>
      </w:hyperlink>
    </w:p>
    <w:p w14:paraId="141B431A" w14:textId="38B1D70E" w:rsidR="0027526F" w:rsidRDefault="0027526F">
      <w:pPr>
        <w:pStyle w:val="TOC5"/>
        <w:tabs>
          <w:tab w:val="left" w:pos="1870"/>
          <w:tab w:val="right" w:leader="dot" w:pos="8630"/>
        </w:tabs>
        <w:rPr>
          <w:noProof/>
          <w:lang w:eastAsia="es-CO"/>
        </w:rPr>
      </w:pPr>
      <w:hyperlink w:anchor="_Toc226750204" w:history="1">
        <w:r w:rsidRPr="001F3AD6">
          <w:rPr>
            <w:rStyle w:val="Hyperlink"/>
            <w:rFonts w:ascii="Times New Roman" w:hAnsi="Times New Roman" w:cs="Times New Roman"/>
            <w:noProof/>
          </w:rPr>
          <w:t>6.1.3.2.1</w:t>
        </w:r>
        <w:r>
          <w:rPr>
            <w:noProof/>
            <w:lang w:eastAsia="es-CO"/>
          </w:rPr>
          <w:tab/>
        </w:r>
        <w:r w:rsidRPr="001F3AD6">
          <w:rPr>
            <w:rStyle w:val="Hyperlink"/>
            <w:rFonts w:ascii="Times New Roman" w:hAnsi="Times New Roman" w:cs="Times New Roman"/>
            <w:noProof/>
          </w:rPr>
          <w:t>Percepciones de los grupos de interés</w:t>
        </w:r>
        <w:r>
          <w:rPr>
            <w:noProof/>
            <w:webHidden/>
          </w:rPr>
          <w:tab/>
        </w:r>
        <w:r>
          <w:rPr>
            <w:noProof/>
            <w:webHidden/>
          </w:rPr>
          <w:fldChar w:fldCharType="begin"/>
        </w:r>
        <w:r>
          <w:rPr>
            <w:noProof/>
            <w:webHidden/>
          </w:rPr>
          <w:instrText xml:space="preserve"> PAGEREF _Toc226750204 \h </w:instrText>
        </w:r>
        <w:r>
          <w:rPr>
            <w:noProof/>
            <w:webHidden/>
          </w:rPr>
        </w:r>
        <w:r>
          <w:rPr>
            <w:noProof/>
            <w:webHidden/>
          </w:rPr>
          <w:fldChar w:fldCharType="separate"/>
        </w:r>
        <w:r>
          <w:rPr>
            <w:noProof/>
            <w:webHidden/>
          </w:rPr>
          <w:t>33</w:t>
        </w:r>
        <w:r>
          <w:rPr>
            <w:noProof/>
            <w:webHidden/>
          </w:rPr>
          <w:fldChar w:fldCharType="end"/>
        </w:r>
      </w:hyperlink>
    </w:p>
    <w:p w14:paraId="74E9F431" w14:textId="6709E34C" w:rsidR="0027526F" w:rsidRDefault="0027526F">
      <w:pPr>
        <w:pStyle w:val="TOC3"/>
        <w:tabs>
          <w:tab w:val="left" w:pos="1320"/>
          <w:tab w:val="right" w:leader="dot" w:pos="8630"/>
        </w:tabs>
        <w:rPr>
          <w:noProof/>
          <w:lang w:eastAsia="es-CO"/>
        </w:rPr>
      </w:pPr>
      <w:hyperlink w:anchor="_Toc226750205" w:history="1">
        <w:r w:rsidRPr="001F3AD6">
          <w:rPr>
            <w:rStyle w:val="Hyperlink"/>
            <w:rFonts w:ascii="Times New Roman" w:hAnsi="Times New Roman"/>
            <w:noProof/>
          </w:rPr>
          <w:t>6.1.4</w:t>
        </w:r>
        <w:r>
          <w:rPr>
            <w:noProof/>
            <w:lang w:eastAsia="es-CO"/>
          </w:rPr>
          <w:tab/>
        </w:r>
        <w:r w:rsidRPr="001F3AD6">
          <w:rPr>
            <w:rStyle w:val="Hyperlink"/>
            <w:rFonts w:ascii="Times New Roman" w:hAnsi="Times New Roman"/>
            <w:noProof/>
          </w:rPr>
          <w:t>Eficiencia</w:t>
        </w:r>
        <w:r>
          <w:rPr>
            <w:noProof/>
            <w:webHidden/>
          </w:rPr>
          <w:tab/>
        </w:r>
        <w:r>
          <w:rPr>
            <w:noProof/>
            <w:webHidden/>
          </w:rPr>
          <w:fldChar w:fldCharType="begin"/>
        </w:r>
        <w:r>
          <w:rPr>
            <w:noProof/>
            <w:webHidden/>
          </w:rPr>
          <w:instrText xml:space="preserve"> PAGEREF _Toc226750205 \h </w:instrText>
        </w:r>
        <w:r>
          <w:rPr>
            <w:noProof/>
            <w:webHidden/>
          </w:rPr>
        </w:r>
        <w:r>
          <w:rPr>
            <w:noProof/>
            <w:webHidden/>
          </w:rPr>
          <w:fldChar w:fldCharType="separate"/>
        </w:r>
        <w:r>
          <w:rPr>
            <w:noProof/>
            <w:webHidden/>
          </w:rPr>
          <w:t>37</w:t>
        </w:r>
        <w:r>
          <w:rPr>
            <w:noProof/>
            <w:webHidden/>
          </w:rPr>
          <w:fldChar w:fldCharType="end"/>
        </w:r>
      </w:hyperlink>
    </w:p>
    <w:p w14:paraId="4E49F209" w14:textId="0CCA6301" w:rsidR="0027526F" w:rsidRDefault="0027526F">
      <w:pPr>
        <w:pStyle w:val="TOC4"/>
        <w:tabs>
          <w:tab w:val="left" w:pos="1540"/>
          <w:tab w:val="right" w:leader="dot" w:pos="8630"/>
        </w:tabs>
        <w:rPr>
          <w:noProof/>
          <w:lang w:eastAsia="es-CO"/>
        </w:rPr>
      </w:pPr>
      <w:hyperlink w:anchor="_Toc226750206" w:history="1">
        <w:r w:rsidRPr="001F3AD6">
          <w:rPr>
            <w:rStyle w:val="Hyperlink"/>
            <w:noProof/>
          </w:rPr>
          <w:t>6.1.4.1</w:t>
        </w:r>
        <w:r>
          <w:rPr>
            <w:noProof/>
            <w:lang w:eastAsia="es-CO"/>
          </w:rPr>
          <w:tab/>
        </w:r>
        <w:r w:rsidRPr="001F3AD6">
          <w:rPr>
            <w:rStyle w:val="Hyperlink"/>
            <w:noProof/>
          </w:rPr>
          <w:t>Relación entre los recursos utilizados y los resultados alcanzados.</w:t>
        </w:r>
        <w:r>
          <w:rPr>
            <w:noProof/>
            <w:webHidden/>
          </w:rPr>
          <w:tab/>
        </w:r>
        <w:r>
          <w:rPr>
            <w:noProof/>
            <w:webHidden/>
          </w:rPr>
          <w:fldChar w:fldCharType="begin"/>
        </w:r>
        <w:r>
          <w:rPr>
            <w:noProof/>
            <w:webHidden/>
          </w:rPr>
          <w:instrText xml:space="preserve"> PAGEREF _Toc226750206 \h </w:instrText>
        </w:r>
        <w:r>
          <w:rPr>
            <w:noProof/>
            <w:webHidden/>
          </w:rPr>
        </w:r>
        <w:r>
          <w:rPr>
            <w:noProof/>
            <w:webHidden/>
          </w:rPr>
          <w:fldChar w:fldCharType="separate"/>
        </w:r>
        <w:r>
          <w:rPr>
            <w:noProof/>
            <w:webHidden/>
          </w:rPr>
          <w:t>37</w:t>
        </w:r>
        <w:r>
          <w:rPr>
            <w:noProof/>
            <w:webHidden/>
          </w:rPr>
          <w:fldChar w:fldCharType="end"/>
        </w:r>
      </w:hyperlink>
    </w:p>
    <w:p w14:paraId="05D73564" w14:textId="166FEA44" w:rsidR="0027526F" w:rsidRDefault="0027526F">
      <w:pPr>
        <w:pStyle w:val="TOC3"/>
        <w:tabs>
          <w:tab w:val="left" w:pos="1320"/>
          <w:tab w:val="right" w:leader="dot" w:pos="8630"/>
        </w:tabs>
        <w:rPr>
          <w:noProof/>
          <w:lang w:eastAsia="es-CO"/>
        </w:rPr>
      </w:pPr>
      <w:hyperlink w:anchor="_Toc226750207" w:history="1">
        <w:r w:rsidRPr="001F3AD6">
          <w:rPr>
            <w:rStyle w:val="Hyperlink"/>
            <w:rFonts w:ascii="Times New Roman" w:hAnsi="Times New Roman"/>
            <w:noProof/>
          </w:rPr>
          <w:t>6.1.5</w:t>
        </w:r>
        <w:r>
          <w:rPr>
            <w:noProof/>
            <w:lang w:eastAsia="es-CO"/>
          </w:rPr>
          <w:tab/>
        </w:r>
        <w:r w:rsidRPr="001F3AD6">
          <w:rPr>
            <w:rStyle w:val="Hyperlink"/>
            <w:rFonts w:ascii="Times New Roman" w:hAnsi="Times New Roman"/>
            <w:noProof/>
          </w:rPr>
          <w:t>Impacto</w:t>
        </w:r>
        <w:r>
          <w:rPr>
            <w:noProof/>
            <w:webHidden/>
          </w:rPr>
          <w:tab/>
        </w:r>
        <w:r>
          <w:rPr>
            <w:noProof/>
            <w:webHidden/>
          </w:rPr>
          <w:fldChar w:fldCharType="begin"/>
        </w:r>
        <w:r>
          <w:rPr>
            <w:noProof/>
            <w:webHidden/>
          </w:rPr>
          <w:instrText xml:space="preserve"> PAGEREF _Toc226750207 \h </w:instrText>
        </w:r>
        <w:r>
          <w:rPr>
            <w:noProof/>
            <w:webHidden/>
          </w:rPr>
        </w:r>
        <w:r>
          <w:rPr>
            <w:noProof/>
            <w:webHidden/>
          </w:rPr>
          <w:fldChar w:fldCharType="separate"/>
        </w:r>
        <w:r>
          <w:rPr>
            <w:noProof/>
            <w:webHidden/>
          </w:rPr>
          <w:t>37</w:t>
        </w:r>
        <w:r>
          <w:rPr>
            <w:noProof/>
            <w:webHidden/>
          </w:rPr>
          <w:fldChar w:fldCharType="end"/>
        </w:r>
      </w:hyperlink>
    </w:p>
    <w:p w14:paraId="2C27E2F2" w14:textId="2D94C1B9" w:rsidR="0027526F" w:rsidRDefault="0027526F">
      <w:pPr>
        <w:pStyle w:val="TOC4"/>
        <w:tabs>
          <w:tab w:val="left" w:pos="1540"/>
          <w:tab w:val="right" w:leader="dot" w:pos="8630"/>
        </w:tabs>
        <w:rPr>
          <w:noProof/>
          <w:lang w:eastAsia="es-CO"/>
        </w:rPr>
      </w:pPr>
      <w:hyperlink w:anchor="_Toc226750208" w:history="1">
        <w:r w:rsidRPr="001F3AD6">
          <w:rPr>
            <w:rStyle w:val="Hyperlink"/>
            <w:noProof/>
          </w:rPr>
          <w:t>6.1.5.1</w:t>
        </w:r>
        <w:r>
          <w:rPr>
            <w:noProof/>
            <w:lang w:eastAsia="es-CO"/>
          </w:rPr>
          <w:tab/>
        </w:r>
        <w:r w:rsidRPr="001F3AD6">
          <w:rPr>
            <w:rStyle w:val="Hyperlink"/>
            <w:noProof/>
          </w:rPr>
          <w:t>Efectos significativos, positivos o negativos, previstos o no previstos, generados por la intervención.</w:t>
        </w:r>
        <w:r>
          <w:rPr>
            <w:noProof/>
            <w:webHidden/>
          </w:rPr>
          <w:tab/>
        </w:r>
        <w:r>
          <w:rPr>
            <w:noProof/>
            <w:webHidden/>
          </w:rPr>
          <w:fldChar w:fldCharType="begin"/>
        </w:r>
        <w:r>
          <w:rPr>
            <w:noProof/>
            <w:webHidden/>
          </w:rPr>
          <w:instrText xml:space="preserve"> PAGEREF _Toc226750208 \h </w:instrText>
        </w:r>
        <w:r>
          <w:rPr>
            <w:noProof/>
            <w:webHidden/>
          </w:rPr>
        </w:r>
        <w:r>
          <w:rPr>
            <w:noProof/>
            <w:webHidden/>
          </w:rPr>
          <w:fldChar w:fldCharType="separate"/>
        </w:r>
        <w:r>
          <w:rPr>
            <w:noProof/>
            <w:webHidden/>
          </w:rPr>
          <w:t>37</w:t>
        </w:r>
        <w:r>
          <w:rPr>
            <w:noProof/>
            <w:webHidden/>
          </w:rPr>
          <w:fldChar w:fldCharType="end"/>
        </w:r>
      </w:hyperlink>
    </w:p>
    <w:p w14:paraId="113A1870" w14:textId="5681C7CF" w:rsidR="0027526F" w:rsidRDefault="0027526F">
      <w:pPr>
        <w:pStyle w:val="TOC3"/>
        <w:tabs>
          <w:tab w:val="left" w:pos="1320"/>
          <w:tab w:val="right" w:leader="dot" w:pos="8630"/>
        </w:tabs>
        <w:rPr>
          <w:noProof/>
          <w:lang w:eastAsia="es-CO"/>
        </w:rPr>
      </w:pPr>
      <w:hyperlink w:anchor="_Toc226750209" w:history="1">
        <w:r w:rsidRPr="001F3AD6">
          <w:rPr>
            <w:rStyle w:val="Hyperlink"/>
            <w:rFonts w:ascii="Times New Roman" w:hAnsi="Times New Roman"/>
            <w:noProof/>
          </w:rPr>
          <w:t>6.1.6</w:t>
        </w:r>
        <w:r>
          <w:rPr>
            <w:noProof/>
            <w:lang w:eastAsia="es-CO"/>
          </w:rPr>
          <w:tab/>
        </w:r>
        <w:r w:rsidRPr="001F3AD6">
          <w:rPr>
            <w:rStyle w:val="Hyperlink"/>
            <w:rFonts w:ascii="Times New Roman" w:hAnsi="Times New Roman"/>
            <w:noProof/>
          </w:rPr>
          <w:t>Sostenibilidad</w:t>
        </w:r>
        <w:r>
          <w:rPr>
            <w:noProof/>
            <w:webHidden/>
          </w:rPr>
          <w:tab/>
        </w:r>
        <w:r>
          <w:rPr>
            <w:noProof/>
            <w:webHidden/>
          </w:rPr>
          <w:fldChar w:fldCharType="begin"/>
        </w:r>
        <w:r>
          <w:rPr>
            <w:noProof/>
            <w:webHidden/>
          </w:rPr>
          <w:instrText xml:space="preserve"> PAGEREF _Toc226750209 \h </w:instrText>
        </w:r>
        <w:r>
          <w:rPr>
            <w:noProof/>
            <w:webHidden/>
          </w:rPr>
        </w:r>
        <w:r>
          <w:rPr>
            <w:noProof/>
            <w:webHidden/>
          </w:rPr>
          <w:fldChar w:fldCharType="separate"/>
        </w:r>
        <w:r>
          <w:rPr>
            <w:noProof/>
            <w:webHidden/>
          </w:rPr>
          <w:t>42</w:t>
        </w:r>
        <w:r>
          <w:rPr>
            <w:noProof/>
            <w:webHidden/>
          </w:rPr>
          <w:fldChar w:fldCharType="end"/>
        </w:r>
      </w:hyperlink>
    </w:p>
    <w:p w14:paraId="7CC82ED7" w14:textId="214255D9" w:rsidR="0027526F" w:rsidRDefault="0027526F">
      <w:pPr>
        <w:pStyle w:val="TOC4"/>
        <w:tabs>
          <w:tab w:val="left" w:pos="1540"/>
          <w:tab w:val="right" w:leader="dot" w:pos="8630"/>
        </w:tabs>
        <w:rPr>
          <w:noProof/>
          <w:lang w:eastAsia="es-CO"/>
        </w:rPr>
      </w:pPr>
      <w:hyperlink w:anchor="_Toc226750210" w:history="1">
        <w:r w:rsidRPr="001F3AD6">
          <w:rPr>
            <w:rStyle w:val="Hyperlink"/>
            <w:rFonts w:ascii="Times New Roman" w:hAnsi="Times New Roman"/>
            <w:noProof/>
          </w:rPr>
          <w:t>6.1.6.1</w:t>
        </w:r>
        <w:r>
          <w:rPr>
            <w:noProof/>
            <w:lang w:eastAsia="es-CO"/>
          </w:rPr>
          <w:tab/>
        </w:r>
        <w:r w:rsidRPr="001F3AD6">
          <w:rPr>
            <w:rStyle w:val="Hyperlink"/>
            <w:rFonts w:ascii="Times New Roman" w:hAnsi="Times New Roman"/>
            <w:noProof/>
          </w:rPr>
          <w:t>Análisis de las condiciones institucionales, técnicas y financieras para la continuidad de los logros alcanzados.</w:t>
        </w:r>
        <w:r>
          <w:rPr>
            <w:noProof/>
            <w:webHidden/>
          </w:rPr>
          <w:tab/>
        </w:r>
        <w:r>
          <w:rPr>
            <w:noProof/>
            <w:webHidden/>
          </w:rPr>
          <w:fldChar w:fldCharType="begin"/>
        </w:r>
        <w:r>
          <w:rPr>
            <w:noProof/>
            <w:webHidden/>
          </w:rPr>
          <w:instrText xml:space="preserve"> PAGEREF _Toc226750210 \h </w:instrText>
        </w:r>
        <w:r>
          <w:rPr>
            <w:noProof/>
            <w:webHidden/>
          </w:rPr>
        </w:r>
        <w:r>
          <w:rPr>
            <w:noProof/>
            <w:webHidden/>
          </w:rPr>
          <w:fldChar w:fldCharType="separate"/>
        </w:r>
        <w:r>
          <w:rPr>
            <w:noProof/>
            <w:webHidden/>
          </w:rPr>
          <w:t>43</w:t>
        </w:r>
        <w:r>
          <w:rPr>
            <w:noProof/>
            <w:webHidden/>
          </w:rPr>
          <w:fldChar w:fldCharType="end"/>
        </w:r>
      </w:hyperlink>
    </w:p>
    <w:p w14:paraId="26B9EA1D" w14:textId="03D4B677" w:rsidR="0027526F" w:rsidRDefault="0027526F">
      <w:pPr>
        <w:pStyle w:val="TOC4"/>
        <w:tabs>
          <w:tab w:val="left" w:pos="1540"/>
          <w:tab w:val="right" w:leader="dot" w:pos="8630"/>
        </w:tabs>
        <w:rPr>
          <w:noProof/>
          <w:lang w:eastAsia="es-CO"/>
        </w:rPr>
      </w:pPr>
      <w:hyperlink w:anchor="_Toc226750211" w:history="1">
        <w:r w:rsidRPr="001F3AD6">
          <w:rPr>
            <w:rStyle w:val="Hyperlink"/>
            <w:rFonts w:ascii="Times New Roman" w:hAnsi="Times New Roman"/>
            <w:noProof/>
          </w:rPr>
          <w:t>6.1.6.2</w:t>
        </w:r>
        <w:r>
          <w:rPr>
            <w:noProof/>
            <w:lang w:eastAsia="es-CO"/>
          </w:rPr>
          <w:tab/>
        </w:r>
        <w:r w:rsidRPr="001F3AD6">
          <w:rPr>
            <w:rStyle w:val="Hyperlink"/>
            <w:rFonts w:ascii="Times New Roman" w:hAnsi="Times New Roman"/>
            <w:noProof/>
          </w:rPr>
          <w:t>Percepciones de los actores</w:t>
        </w:r>
        <w:r>
          <w:rPr>
            <w:noProof/>
            <w:webHidden/>
          </w:rPr>
          <w:tab/>
        </w:r>
        <w:r>
          <w:rPr>
            <w:noProof/>
            <w:webHidden/>
          </w:rPr>
          <w:fldChar w:fldCharType="begin"/>
        </w:r>
        <w:r>
          <w:rPr>
            <w:noProof/>
            <w:webHidden/>
          </w:rPr>
          <w:instrText xml:space="preserve"> PAGEREF _Toc226750211 \h </w:instrText>
        </w:r>
        <w:r>
          <w:rPr>
            <w:noProof/>
            <w:webHidden/>
          </w:rPr>
        </w:r>
        <w:r>
          <w:rPr>
            <w:noProof/>
            <w:webHidden/>
          </w:rPr>
          <w:fldChar w:fldCharType="separate"/>
        </w:r>
        <w:r>
          <w:rPr>
            <w:noProof/>
            <w:webHidden/>
          </w:rPr>
          <w:t>44</w:t>
        </w:r>
        <w:r>
          <w:rPr>
            <w:noProof/>
            <w:webHidden/>
          </w:rPr>
          <w:fldChar w:fldCharType="end"/>
        </w:r>
      </w:hyperlink>
    </w:p>
    <w:p w14:paraId="455725B0" w14:textId="388FB91A" w:rsidR="0027526F" w:rsidRDefault="0027526F">
      <w:pPr>
        <w:pStyle w:val="TOC3"/>
        <w:tabs>
          <w:tab w:val="left" w:pos="1320"/>
          <w:tab w:val="right" w:leader="dot" w:pos="8630"/>
        </w:tabs>
        <w:rPr>
          <w:noProof/>
          <w:lang w:eastAsia="es-CO"/>
        </w:rPr>
      </w:pPr>
      <w:hyperlink w:anchor="_Toc226750212" w:history="1">
        <w:r w:rsidRPr="001F3AD6">
          <w:rPr>
            <w:rStyle w:val="Hyperlink"/>
            <w:rFonts w:ascii="Times New Roman" w:hAnsi="Times New Roman"/>
            <w:noProof/>
          </w:rPr>
          <w:t>6.1.7</w:t>
        </w:r>
        <w:r>
          <w:rPr>
            <w:noProof/>
            <w:lang w:eastAsia="es-CO"/>
          </w:rPr>
          <w:tab/>
        </w:r>
        <w:r w:rsidRPr="001F3AD6">
          <w:rPr>
            <w:rStyle w:val="Hyperlink"/>
            <w:rFonts w:ascii="Times New Roman" w:hAnsi="Times New Roman"/>
            <w:noProof/>
          </w:rPr>
          <w:t>Escalabilidad</w:t>
        </w:r>
        <w:r>
          <w:rPr>
            <w:noProof/>
            <w:webHidden/>
          </w:rPr>
          <w:tab/>
        </w:r>
        <w:r>
          <w:rPr>
            <w:noProof/>
            <w:webHidden/>
          </w:rPr>
          <w:fldChar w:fldCharType="begin"/>
        </w:r>
        <w:r>
          <w:rPr>
            <w:noProof/>
            <w:webHidden/>
          </w:rPr>
          <w:instrText xml:space="preserve"> PAGEREF _Toc226750212 \h </w:instrText>
        </w:r>
        <w:r>
          <w:rPr>
            <w:noProof/>
            <w:webHidden/>
          </w:rPr>
        </w:r>
        <w:r>
          <w:rPr>
            <w:noProof/>
            <w:webHidden/>
          </w:rPr>
          <w:fldChar w:fldCharType="separate"/>
        </w:r>
        <w:r>
          <w:rPr>
            <w:noProof/>
            <w:webHidden/>
          </w:rPr>
          <w:t>47</w:t>
        </w:r>
        <w:r>
          <w:rPr>
            <w:noProof/>
            <w:webHidden/>
          </w:rPr>
          <w:fldChar w:fldCharType="end"/>
        </w:r>
      </w:hyperlink>
    </w:p>
    <w:p w14:paraId="3B4DB1E5" w14:textId="64C22E83" w:rsidR="0027526F" w:rsidRDefault="0027526F">
      <w:pPr>
        <w:pStyle w:val="TOC4"/>
        <w:tabs>
          <w:tab w:val="left" w:pos="1540"/>
          <w:tab w:val="right" w:leader="dot" w:pos="8630"/>
        </w:tabs>
        <w:rPr>
          <w:noProof/>
          <w:lang w:eastAsia="es-CO"/>
        </w:rPr>
      </w:pPr>
      <w:hyperlink w:anchor="_Toc226750213" w:history="1">
        <w:r w:rsidRPr="001F3AD6">
          <w:rPr>
            <w:rStyle w:val="Hyperlink"/>
            <w:noProof/>
          </w:rPr>
          <w:t>6.1.7.1</w:t>
        </w:r>
        <w:r>
          <w:rPr>
            <w:noProof/>
            <w:lang w:eastAsia="es-CO"/>
          </w:rPr>
          <w:tab/>
        </w:r>
        <w:r w:rsidRPr="001F3AD6">
          <w:rPr>
            <w:rStyle w:val="Hyperlink"/>
            <w:noProof/>
          </w:rPr>
          <w:t>Identificación de oportunidades de replicabilidad y expansión del modelo en otras ciudades o países de la región.</w:t>
        </w:r>
        <w:r>
          <w:rPr>
            <w:noProof/>
            <w:webHidden/>
          </w:rPr>
          <w:tab/>
        </w:r>
        <w:r>
          <w:rPr>
            <w:noProof/>
            <w:webHidden/>
          </w:rPr>
          <w:fldChar w:fldCharType="begin"/>
        </w:r>
        <w:r>
          <w:rPr>
            <w:noProof/>
            <w:webHidden/>
          </w:rPr>
          <w:instrText xml:space="preserve"> PAGEREF _Toc226750213 \h </w:instrText>
        </w:r>
        <w:r>
          <w:rPr>
            <w:noProof/>
            <w:webHidden/>
          </w:rPr>
        </w:r>
        <w:r>
          <w:rPr>
            <w:noProof/>
            <w:webHidden/>
          </w:rPr>
          <w:fldChar w:fldCharType="separate"/>
        </w:r>
        <w:r>
          <w:rPr>
            <w:noProof/>
            <w:webHidden/>
          </w:rPr>
          <w:t>47</w:t>
        </w:r>
        <w:r>
          <w:rPr>
            <w:noProof/>
            <w:webHidden/>
          </w:rPr>
          <w:fldChar w:fldCharType="end"/>
        </w:r>
      </w:hyperlink>
    </w:p>
    <w:p w14:paraId="2EAE79AE" w14:textId="3C2E83C9" w:rsidR="0027526F" w:rsidRDefault="0027526F">
      <w:pPr>
        <w:pStyle w:val="TOC2"/>
        <w:tabs>
          <w:tab w:val="left" w:pos="880"/>
          <w:tab w:val="right" w:leader="dot" w:pos="8630"/>
        </w:tabs>
        <w:rPr>
          <w:noProof/>
          <w:lang w:eastAsia="es-CO"/>
        </w:rPr>
      </w:pPr>
      <w:hyperlink w:anchor="_Toc226750214" w:history="1">
        <w:r w:rsidRPr="001F3AD6">
          <w:rPr>
            <w:rStyle w:val="Hyperlink"/>
            <w:rFonts w:ascii="Times New Roman" w:hAnsi="Times New Roman" w:cs="Times New Roman"/>
            <w:noProof/>
          </w:rPr>
          <w:t>6.2</w:t>
        </w:r>
        <w:r>
          <w:rPr>
            <w:noProof/>
            <w:lang w:eastAsia="es-CO"/>
          </w:rPr>
          <w:tab/>
        </w:r>
        <w:r w:rsidRPr="001F3AD6">
          <w:rPr>
            <w:rStyle w:val="Hyperlink"/>
            <w:rFonts w:ascii="Times New Roman" w:hAnsi="Times New Roman" w:cs="Times New Roman"/>
            <w:noProof/>
          </w:rPr>
          <w:t>Componente 2: Fortalecimiento de marco regulatorio</w:t>
        </w:r>
        <w:r>
          <w:rPr>
            <w:noProof/>
            <w:webHidden/>
          </w:rPr>
          <w:tab/>
        </w:r>
        <w:r>
          <w:rPr>
            <w:noProof/>
            <w:webHidden/>
          </w:rPr>
          <w:fldChar w:fldCharType="begin"/>
        </w:r>
        <w:r>
          <w:rPr>
            <w:noProof/>
            <w:webHidden/>
          </w:rPr>
          <w:instrText xml:space="preserve"> PAGEREF _Toc226750214 \h </w:instrText>
        </w:r>
        <w:r>
          <w:rPr>
            <w:noProof/>
            <w:webHidden/>
          </w:rPr>
        </w:r>
        <w:r>
          <w:rPr>
            <w:noProof/>
            <w:webHidden/>
          </w:rPr>
          <w:fldChar w:fldCharType="separate"/>
        </w:r>
        <w:r>
          <w:rPr>
            <w:noProof/>
            <w:webHidden/>
          </w:rPr>
          <w:t>47</w:t>
        </w:r>
        <w:r>
          <w:rPr>
            <w:noProof/>
            <w:webHidden/>
          </w:rPr>
          <w:fldChar w:fldCharType="end"/>
        </w:r>
      </w:hyperlink>
    </w:p>
    <w:p w14:paraId="767ED9BB" w14:textId="3BF15A51" w:rsidR="0027526F" w:rsidRDefault="0027526F">
      <w:pPr>
        <w:pStyle w:val="TOC3"/>
        <w:tabs>
          <w:tab w:val="left" w:pos="1320"/>
          <w:tab w:val="right" w:leader="dot" w:pos="8630"/>
        </w:tabs>
        <w:rPr>
          <w:noProof/>
          <w:lang w:eastAsia="es-CO"/>
        </w:rPr>
      </w:pPr>
      <w:hyperlink w:anchor="_Toc226750215" w:history="1">
        <w:r w:rsidRPr="001F3AD6">
          <w:rPr>
            <w:rStyle w:val="Hyperlink"/>
            <w:rFonts w:ascii="Times New Roman" w:hAnsi="Times New Roman"/>
            <w:noProof/>
          </w:rPr>
          <w:t>6.2.1</w:t>
        </w:r>
        <w:r>
          <w:rPr>
            <w:noProof/>
            <w:lang w:eastAsia="es-CO"/>
          </w:rPr>
          <w:tab/>
        </w:r>
        <w:r w:rsidRPr="001F3AD6">
          <w:rPr>
            <w:rStyle w:val="Hyperlink"/>
            <w:rFonts w:ascii="Times New Roman" w:hAnsi="Times New Roman"/>
            <w:noProof/>
          </w:rPr>
          <w:t>Pertinencia</w:t>
        </w:r>
        <w:r>
          <w:rPr>
            <w:noProof/>
            <w:webHidden/>
          </w:rPr>
          <w:tab/>
        </w:r>
        <w:r>
          <w:rPr>
            <w:noProof/>
            <w:webHidden/>
          </w:rPr>
          <w:fldChar w:fldCharType="begin"/>
        </w:r>
        <w:r>
          <w:rPr>
            <w:noProof/>
            <w:webHidden/>
          </w:rPr>
          <w:instrText xml:space="preserve"> PAGEREF _Toc226750215 \h </w:instrText>
        </w:r>
        <w:r>
          <w:rPr>
            <w:noProof/>
            <w:webHidden/>
          </w:rPr>
        </w:r>
        <w:r>
          <w:rPr>
            <w:noProof/>
            <w:webHidden/>
          </w:rPr>
          <w:fldChar w:fldCharType="separate"/>
        </w:r>
        <w:r>
          <w:rPr>
            <w:noProof/>
            <w:webHidden/>
          </w:rPr>
          <w:t>47</w:t>
        </w:r>
        <w:r>
          <w:rPr>
            <w:noProof/>
            <w:webHidden/>
          </w:rPr>
          <w:fldChar w:fldCharType="end"/>
        </w:r>
      </w:hyperlink>
    </w:p>
    <w:p w14:paraId="7B73CCBF" w14:textId="2BEFDCA5" w:rsidR="0027526F" w:rsidRDefault="0027526F">
      <w:pPr>
        <w:pStyle w:val="TOC4"/>
        <w:tabs>
          <w:tab w:val="left" w:pos="1540"/>
          <w:tab w:val="right" w:leader="dot" w:pos="8630"/>
        </w:tabs>
        <w:rPr>
          <w:noProof/>
          <w:lang w:eastAsia="es-CO"/>
        </w:rPr>
      </w:pPr>
      <w:hyperlink w:anchor="_Toc226750216" w:history="1">
        <w:r w:rsidRPr="001F3AD6">
          <w:rPr>
            <w:rStyle w:val="Hyperlink"/>
            <w:rFonts w:ascii="Times New Roman" w:hAnsi="Times New Roman"/>
            <w:noProof/>
          </w:rPr>
          <w:t>6.2.1.1</w:t>
        </w:r>
        <w:r>
          <w:rPr>
            <w:noProof/>
            <w:lang w:eastAsia="es-CO"/>
          </w:rPr>
          <w:tab/>
        </w:r>
        <w:r w:rsidRPr="001F3AD6">
          <w:rPr>
            <w:rStyle w:val="Hyperlink"/>
            <w:rFonts w:ascii="Times New Roman" w:hAnsi="Times New Roman"/>
            <w:noProof/>
          </w:rPr>
          <w:t>Adecuación de la intervención a los contextos urbanos y sectoriales de cada ciudad</w:t>
        </w:r>
        <w:r>
          <w:rPr>
            <w:noProof/>
            <w:webHidden/>
          </w:rPr>
          <w:tab/>
        </w:r>
        <w:r>
          <w:rPr>
            <w:noProof/>
            <w:webHidden/>
          </w:rPr>
          <w:fldChar w:fldCharType="begin"/>
        </w:r>
        <w:r>
          <w:rPr>
            <w:noProof/>
            <w:webHidden/>
          </w:rPr>
          <w:instrText xml:space="preserve"> PAGEREF _Toc226750216 \h </w:instrText>
        </w:r>
        <w:r>
          <w:rPr>
            <w:noProof/>
            <w:webHidden/>
          </w:rPr>
        </w:r>
        <w:r>
          <w:rPr>
            <w:noProof/>
            <w:webHidden/>
          </w:rPr>
          <w:fldChar w:fldCharType="separate"/>
        </w:r>
        <w:r>
          <w:rPr>
            <w:noProof/>
            <w:webHidden/>
          </w:rPr>
          <w:t>47</w:t>
        </w:r>
        <w:r>
          <w:rPr>
            <w:noProof/>
            <w:webHidden/>
          </w:rPr>
          <w:fldChar w:fldCharType="end"/>
        </w:r>
      </w:hyperlink>
    </w:p>
    <w:p w14:paraId="2482B84B" w14:textId="0FAA69C0" w:rsidR="0027526F" w:rsidRDefault="0027526F">
      <w:pPr>
        <w:pStyle w:val="TOC4"/>
        <w:tabs>
          <w:tab w:val="left" w:pos="1540"/>
          <w:tab w:val="right" w:leader="dot" w:pos="8630"/>
        </w:tabs>
        <w:rPr>
          <w:noProof/>
          <w:lang w:eastAsia="es-CO"/>
        </w:rPr>
      </w:pPr>
      <w:hyperlink w:anchor="_Toc226750217" w:history="1">
        <w:r w:rsidRPr="001F3AD6">
          <w:rPr>
            <w:rStyle w:val="Hyperlink"/>
            <w:rFonts w:ascii="Times New Roman" w:hAnsi="Times New Roman"/>
            <w:noProof/>
          </w:rPr>
          <w:t>6.2.1.2</w:t>
        </w:r>
        <w:r>
          <w:rPr>
            <w:noProof/>
            <w:lang w:eastAsia="es-CO"/>
          </w:rPr>
          <w:tab/>
        </w:r>
        <w:r w:rsidRPr="001F3AD6">
          <w:rPr>
            <w:rStyle w:val="Hyperlink"/>
            <w:rFonts w:ascii="Times New Roman" w:hAnsi="Times New Roman"/>
            <w:noProof/>
          </w:rPr>
          <w:t>Relevancia frente a las prioridades locales y regionales de sostenibilidad.</w:t>
        </w:r>
        <w:r>
          <w:rPr>
            <w:noProof/>
            <w:webHidden/>
          </w:rPr>
          <w:tab/>
        </w:r>
        <w:r>
          <w:rPr>
            <w:noProof/>
            <w:webHidden/>
          </w:rPr>
          <w:fldChar w:fldCharType="begin"/>
        </w:r>
        <w:r>
          <w:rPr>
            <w:noProof/>
            <w:webHidden/>
          </w:rPr>
          <w:instrText xml:space="preserve"> PAGEREF _Toc226750217 \h </w:instrText>
        </w:r>
        <w:r>
          <w:rPr>
            <w:noProof/>
            <w:webHidden/>
          </w:rPr>
        </w:r>
        <w:r>
          <w:rPr>
            <w:noProof/>
            <w:webHidden/>
          </w:rPr>
          <w:fldChar w:fldCharType="separate"/>
        </w:r>
        <w:r>
          <w:rPr>
            <w:noProof/>
            <w:webHidden/>
          </w:rPr>
          <w:t>49</w:t>
        </w:r>
        <w:r>
          <w:rPr>
            <w:noProof/>
            <w:webHidden/>
          </w:rPr>
          <w:fldChar w:fldCharType="end"/>
        </w:r>
      </w:hyperlink>
    </w:p>
    <w:p w14:paraId="45E4E74B" w14:textId="5C1D3C7A" w:rsidR="0027526F" w:rsidRDefault="0027526F">
      <w:pPr>
        <w:pStyle w:val="TOC4"/>
        <w:tabs>
          <w:tab w:val="left" w:pos="1540"/>
          <w:tab w:val="right" w:leader="dot" w:pos="8630"/>
        </w:tabs>
        <w:rPr>
          <w:noProof/>
          <w:lang w:eastAsia="es-CO"/>
        </w:rPr>
      </w:pPr>
      <w:hyperlink w:anchor="_Toc226750218" w:history="1">
        <w:r w:rsidRPr="001F3AD6">
          <w:rPr>
            <w:rStyle w:val="Hyperlink"/>
            <w:rFonts w:ascii="Times New Roman" w:hAnsi="Times New Roman"/>
            <w:noProof/>
          </w:rPr>
          <w:t>6.2.1.3</w:t>
        </w:r>
        <w:r>
          <w:rPr>
            <w:noProof/>
            <w:lang w:eastAsia="es-CO"/>
          </w:rPr>
          <w:tab/>
        </w:r>
        <w:r w:rsidRPr="001F3AD6">
          <w:rPr>
            <w:rStyle w:val="Hyperlink"/>
            <w:rFonts w:ascii="Times New Roman" w:hAnsi="Times New Roman"/>
            <w:noProof/>
          </w:rPr>
          <w:t>Percepciones de los actores</w:t>
        </w:r>
        <w:r>
          <w:rPr>
            <w:noProof/>
            <w:webHidden/>
          </w:rPr>
          <w:tab/>
        </w:r>
        <w:r>
          <w:rPr>
            <w:noProof/>
            <w:webHidden/>
          </w:rPr>
          <w:fldChar w:fldCharType="begin"/>
        </w:r>
        <w:r>
          <w:rPr>
            <w:noProof/>
            <w:webHidden/>
          </w:rPr>
          <w:instrText xml:space="preserve"> PAGEREF _Toc226750218 \h </w:instrText>
        </w:r>
        <w:r>
          <w:rPr>
            <w:noProof/>
            <w:webHidden/>
          </w:rPr>
        </w:r>
        <w:r>
          <w:rPr>
            <w:noProof/>
            <w:webHidden/>
          </w:rPr>
          <w:fldChar w:fldCharType="separate"/>
        </w:r>
        <w:r>
          <w:rPr>
            <w:noProof/>
            <w:webHidden/>
          </w:rPr>
          <w:t>50</w:t>
        </w:r>
        <w:r>
          <w:rPr>
            <w:noProof/>
            <w:webHidden/>
          </w:rPr>
          <w:fldChar w:fldCharType="end"/>
        </w:r>
      </w:hyperlink>
    </w:p>
    <w:p w14:paraId="7989FE1C" w14:textId="1004A858" w:rsidR="0027526F" w:rsidRDefault="0027526F">
      <w:pPr>
        <w:pStyle w:val="TOC3"/>
        <w:tabs>
          <w:tab w:val="left" w:pos="1320"/>
          <w:tab w:val="right" w:leader="dot" w:pos="8630"/>
        </w:tabs>
        <w:rPr>
          <w:noProof/>
          <w:lang w:eastAsia="es-CO"/>
        </w:rPr>
      </w:pPr>
      <w:hyperlink w:anchor="_Toc226750219" w:history="1">
        <w:r w:rsidRPr="001F3AD6">
          <w:rPr>
            <w:rStyle w:val="Hyperlink"/>
            <w:rFonts w:ascii="Times New Roman" w:hAnsi="Times New Roman"/>
            <w:noProof/>
          </w:rPr>
          <w:t>6.2.2</w:t>
        </w:r>
        <w:r>
          <w:rPr>
            <w:noProof/>
            <w:lang w:eastAsia="es-CO"/>
          </w:rPr>
          <w:tab/>
        </w:r>
        <w:r w:rsidRPr="001F3AD6">
          <w:rPr>
            <w:rStyle w:val="Hyperlink"/>
            <w:rFonts w:ascii="Times New Roman" w:hAnsi="Times New Roman"/>
            <w:noProof/>
          </w:rPr>
          <w:t>Coherencia</w:t>
        </w:r>
        <w:r>
          <w:rPr>
            <w:noProof/>
            <w:webHidden/>
          </w:rPr>
          <w:tab/>
        </w:r>
        <w:r>
          <w:rPr>
            <w:noProof/>
            <w:webHidden/>
          </w:rPr>
          <w:fldChar w:fldCharType="begin"/>
        </w:r>
        <w:r>
          <w:rPr>
            <w:noProof/>
            <w:webHidden/>
          </w:rPr>
          <w:instrText xml:space="preserve"> PAGEREF _Toc226750219 \h </w:instrText>
        </w:r>
        <w:r>
          <w:rPr>
            <w:noProof/>
            <w:webHidden/>
          </w:rPr>
        </w:r>
        <w:r>
          <w:rPr>
            <w:noProof/>
            <w:webHidden/>
          </w:rPr>
          <w:fldChar w:fldCharType="separate"/>
        </w:r>
        <w:r>
          <w:rPr>
            <w:noProof/>
            <w:webHidden/>
          </w:rPr>
          <w:t>51</w:t>
        </w:r>
        <w:r>
          <w:rPr>
            <w:noProof/>
            <w:webHidden/>
          </w:rPr>
          <w:fldChar w:fldCharType="end"/>
        </w:r>
      </w:hyperlink>
    </w:p>
    <w:p w14:paraId="3DE67E85" w14:textId="2130DF28" w:rsidR="0027526F" w:rsidRDefault="0027526F">
      <w:pPr>
        <w:pStyle w:val="TOC4"/>
        <w:tabs>
          <w:tab w:val="left" w:pos="1540"/>
          <w:tab w:val="right" w:leader="dot" w:pos="8630"/>
        </w:tabs>
        <w:rPr>
          <w:noProof/>
          <w:lang w:eastAsia="es-CO"/>
        </w:rPr>
      </w:pPr>
      <w:hyperlink w:anchor="_Toc226750220" w:history="1">
        <w:r w:rsidRPr="001F3AD6">
          <w:rPr>
            <w:rStyle w:val="Hyperlink"/>
            <w:rFonts w:ascii="Times New Roman" w:hAnsi="Times New Roman"/>
            <w:noProof/>
          </w:rPr>
          <w:t>6.2.2.1</w:t>
        </w:r>
        <w:r>
          <w:rPr>
            <w:noProof/>
            <w:lang w:eastAsia="es-CO"/>
          </w:rPr>
          <w:tab/>
        </w:r>
        <w:r w:rsidRPr="001F3AD6">
          <w:rPr>
            <w:rStyle w:val="Hyperlink"/>
            <w:rFonts w:ascii="Times New Roman" w:hAnsi="Times New Roman"/>
            <w:noProof/>
          </w:rPr>
          <w:t>Evaluación del alineamiento entre los objetivos, actividades, productos y resultados</w:t>
        </w:r>
        <w:r>
          <w:rPr>
            <w:noProof/>
            <w:webHidden/>
          </w:rPr>
          <w:tab/>
        </w:r>
        <w:r>
          <w:rPr>
            <w:noProof/>
            <w:webHidden/>
          </w:rPr>
          <w:fldChar w:fldCharType="begin"/>
        </w:r>
        <w:r>
          <w:rPr>
            <w:noProof/>
            <w:webHidden/>
          </w:rPr>
          <w:instrText xml:space="preserve"> PAGEREF _Toc226750220 \h </w:instrText>
        </w:r>
        <w:r>
          <w:rPr>
            <w:noProof/>
            <w:webHidden/>
          </w:rPr>
        </w:r>
        <w:r>
          <w:rPr>
            <w:noProof/>
            <w:webHidden/>
          </w:rPr>
          <w:fldChar w:fldCharType="separate"/>
        </w:r>
        <w:r>
          <w:rPr>
            <w:noProof/>
            <w:webHidden/>
          </w:rPr>
          <w:t>51</w:t>
        </w:r>
        <w:r>
          <w:rPr>
            <w:noProof/>
            <w:webHidden/>
          </w:rPr>
          <w:fldChar w:fldCharType="end"/>
        </w:r>
      </w:hyperlink>
    </w:p>
    <w:p w14:paraId="4E908204" w14:textId="67FEBC55" w:rsidR="0027526F" w:rsidRDefault="0027526F">
      <w:pPr>
        <w:pStyle w:val="TOC4"/>
        <w:tabs>
          <w:tab w:val="left" w:pos="1540"/>
          <w:tab w:val="right" w:leader="dot" w:pos="8630"/>
        </w:tabs>
        <w:rPr>
          <w:noProof/>
          <w:lang w:eastAsia="es-CO"/>
        </w:rPr>
      </w:pPr>
      <w:hyperlink w:anchor="_Toc226750221" w:history="1">
        <w:r w:rsidRPr="001F3AD6">
          <w:rPr>
            <w:rStyle w:val="Hyperlink"/>
            <w:rFonts w:ascii="Times New Roman" w:hAnsi="Times New Roman"/>
            <w:noProof/>
          </w:rPr>
          <w:t>6.2.2.2</w:t>
        </w:r>
        <w:r>
          <w:rPr>
            <w:noProof/>
            <w:lang w:eastAsia="es-CO"/>
          </w:rPr>
          <w:tab/>
        </w:r>
        <w:r w:rsidRPr="001F3AD6">
          <w:rPr>
            <w:rStyle w:val="Hyperlink"/>
            <w:rFonts w:ascii="Times New Roman" w:hAnsi="Times New Roman"/>
            <w:noProof/>
          </w:rPr>
          <w:t>Articulación entre los componentes y actores institucionales</w:t>
        </w:r>
        <w:r>
          <w:rPr>
            <w:noProof/>
            <w:webHidden/>
          </w:rPr>
          <w:tab/>
        </w:r>
        <w:r>
          <w:rPr>
            <w:noProof/>
            <w:webHidden/>
          </w:rPr>
          <w:fldChar w:fldCharType="begin"/>
        </w:r>
        <w:r>
          <w:rPr>
            <w:noProof/>
            <w:webHidden/>
          </w:rPr>
          <w:instrText xml:space="preserve"> PAGEREF _Toc226750221 \h </w:instrText>
        </w:r>
        <w:r>
          <w:rPr>
            <w:noProof/>
            <w:webHidden/>
          </w:rPr>
        </w:r>
        <w:r>
          <w:rPr>
            <w:noProof/>
            <w:webHidden/>
          </w:rPr>
          <w:fldChar w:fldCharType="separate"/>
        </w:r>
        <w:r>
          <w:rPr>
            <w:noProof/>
            <w:webHidden/>
          </w:rPr>
          <w:t>52</w:t>
        </w:r>
        <w:r>
          <w:rPr>
            <w:noProof/>
            <w:webHidden/>
          </w:rPr>
          <w:fldChar w:fldCharType="end"/>
        </w:r>
      </w:hyperlink>
    </w:p>
    <w:p w14:paraId="18D8BB28" w14:textId="0E82AD39" w:rsidR="0027526F" w:rsidRDefault="0027526F">
      <w:pPr>
        <w:pStyle w:val="TOC3"/>
        <w:tabs>
          <w:tab w:val="left" w:pos="1320"/>
          <w:tab w:val="right" w:leader="dot" w:pos="8630"/>
        </w:tabs>
        <w:rPr>
          <w:noProof/>
          <w:lang w:eastAsia="es-CO"/>
        </w:rPr>
      </w:pPr>
      <w:hyperlink w:anchor="_Toc226750222" w:history="1">
        <w:r w:rsidRPr="001F3AD6">
          <w:rPr>
            <w:rStyle w:val="Hyperlink"/>
            <w:rFonts w:ascii="Times New Roman" w:hAnsi="Times New Roman"/>
            <w:noProof/>
          </w:rPr>
          <w:t>6.2.3</w:t>
        </w:r>
        <w:r>
          <w:rPr>
            <w:noProof/>
            <w:lang w:eastAsia="es-CO"/>
          </w:rPr>
          <w:tab/>
        </w:r>
        <w:r w:rsidRPr="001F3AD6">
          <w:rPr>
            <w:rStyle w:val="Hyperlink"/>
            <w:rFonts w:ascii="Times New Roman" w:hAnsi="Times New Roman"/>
            <w:noProof/>
          </w:rPr>
          <w:t>Cumplimiento</w:t>
        </w:r>
        <w:r>
          <w:rPr>
            <w:noProof/>
            <w:webHidden/>
          </w:rPr>
          <w:tab/>
        </w:r>
        <w:r>
          <w:rPr>
            <w:noProof/>
            <w:webHidden/>
          </w:rPr>
          <w:fldChar w:fldCharType="begin"/>
        </w:r>
        <w:r>
          <w:rPr>
            <w:noProof/>
            <w:webHidden/>
          </w:rPr>
          <w:instrText xml:space="preserve"> PAGEREF _Toc226750222 \h </w:instrText>
        </w:r>
        <w:r>
          <w:rPr>
            <w:noProof/>
            <w:webHidden/>
          </w:rPr>
        </w:r>
        <w:r>
          <w:rPr>
            <w:noProof/>
            <w:webHidden/>
          </w:rPr>
          <w:fldChar w:fldCharType="separate"/>
        </w:r>
        <w:r>
          <w:rPr>
            <w:noProof/>
            <w:webHidden/>
          </w:rPr>
          <w:t>53</w:t>
        </w:r>
        <w:r>
          <w:rPr>
            <w:noProof/>
            <w:webHidden/>
          </w:rPr>
          <w:fldChar w:fldCharType="end"/>
        </w:r>
      </w:hyperlink>
    </w:p>
    <w:p w14:paraId="4D90AFFE" w14:textId="7E27D888" w:rsidR="0027526F" w:rsidRDefault="0027526F">
      <w:pPr>
        <w:pStyle w:val="TOC4"/>
        <w:tabs>
          <w:tab w:val="left" w:pos="1540"/>
          <w:tab w:val="right" w:leader="dot" w:pos="8630"/>
        </w:tabs>
        <w:rPr>
          <w:noProof/>
          <w:lang w:eastAsia="es-CO"/>
        </w:rPr>
      </w:pPr>
      <w:hyperlink w:anchor="_Toc226750223" w:history="1">
        <w:r w:rsidRPr="001F3AD6">
          <w:rPr>
            <w:rStyle w:val="Hyperlink"/>
            <w:rFonts w:ascii="Times New Roman" w:hAnsi="Times New Roman"/>
            <w:noProof/>
          </w:rPr>
          <w:t>6.2.3.1</w:t>
        </w:r>
        <w:r>
          <w:rPr>
            <w:noProof/>
            <w:lang w:eastAsia="es-CO"/>
          </w:rPr>
          <w:tab/>
        </w:r>
        <w:r w:rsidRPr="001F3AD6">
          <w:rPr>
            <w:rStyle w:val="Hyperlink"/>
            <w:rFonts w:ascii="Times New Roman" w:hAnsi="Times New Roman"/>
            <w:noProof/>
          </w:rPr>
          <w:t>Nivel de logro de metas e indicadores previstos en el convenio.</w:t>
        </w:r>
        <w:r>
          <w:rPr>
            <w:noProof/>
            <w:webHidden/>
          </w:rPr>
          <w:tab/>
        </w:r>
        <w:r>
          <w:rPr>
            <w:noProof/>
            <w:webHidden/>
          </w:rPr>
          <w:fldChar w:fldCharType="begin"/>
        </w:r>
        <w:r>
          <w:rPr>
            <w:noProof/>
            <w:webHidden/>
          </w:rPr>
          <w:instrText xml:space="preserve"> PAGEREF _Toc226750223 \h </w:instrText>
        </w:r>
        <w:r>
          <w:rPr>
            <w:noProof/>
            <w:webHidden/>
          </w:rPr>
        </w:r>
        <w:r>
          <w:rPr>
            <w:noProof/>
            <w:webHidden/>
          </w:rPr>
          <w:fldChar w:fldCharType="separate"/>
        </w:r>
        <w:r>
          <w:rPr>
            <w:noProof/>
            <w:webHidden/>
          </w:rPr>
          <w:t>53</w:t>
        </w:r>
        <w:r>
          <w:rPr>
            <w:noProof/>
            <w:webHidden/>
          </w:rPr>
          <w:fldChar w:fldCharType="end"/>
        </w:r>
      </w:hyperlink>
    </w:p>
    <w:p w14:paraId="42BC8189" w14:textId="1EC490CE" w:rsidR="0027526F" w:rsidRDefault="0027526F">
      <w:pPr>
        <w:pStyle w:val="TOC4"/>
        <w:tabs>
          <w:tab w:val="left" w:pos="1540"/>
          <w:tab w:val="right" w:leader="dot" w:pos="8630"/>
        </w:tabs>
        <w:rPr>
          <w:noProof/>
          <w:lang w:eastAsia="es-CO"/>
        </w:rPr>
      </w:pPr>
      <w:hyperlink w:anchor="_Toc226750224" w:history="1">
        <w:r w:rsidRPr="001F3AD6">
          <w:rPr>
            <w:rStyle w:val="Hyperlink"/>
            <w:rFonts w:ascii="Times New Roman" w:hAnsi="Times New Roman"/>
            <w:noProof/>
          </w:rPr>
          <w:t>6.2.3.2</w:t>
        </w:r>
        <w:r>
          <w:rPr>
            <w:noProof/>
            <w:lang w:eastAsia="es-CO"/>
          </w:rPr>
          <w:tab/>
        </w:r>
        <w:r w:rsidRPr="001F3AD6">
          <w:rPr>
            <w:rStyle w:val="Hyperlink"/>
            <w:rFonts w:ascii="Times New Roman" w:hAnsi="Times New Roman"/>
            <w:noProof/>
          </w:rPr>
          <w:t>Revisión de evidencias y productos técnicos entregados.</w:t>
        </w:r>
        <w:r>
          <w:rPr>
            <w:noProof/>
            <w:webHidden/>
          </w:rPr>
          <w:tab/>
        </w:r>
        <w:r>
          <w:rPr>
            <w:noProof/>
            <w:webHidden/>
          </w:rPr>
          <w:fldChar w:fldCharType="begin"/>
        </w:r>
        <w:r>
          <w:rPr>
            <w:noProof/>
            <w:webHidden/>
          </w:rPr>
          <w:instrText xml:space="preserve"> PAGEREF _Toc226750224 \h </w:instrText>
        </w:r>
        <w:r>
          <w:rPr>
            <w:noProof/>
            <w:webHidden/>
          </w:rPr>
        </w:r>
        <w:r>
          <w:rPr>
            <w:noProof/>
            <w:webHidden/>
          </w:rPr>
          <w:fldChar w:fldCharType="separate"/>
        </w:r>
        <w:r>
          <w:rPr>
            <w:noProof/>
            <w:webHidden/>
          </w:rPr>
          <w:t>54</w:t>
        </w:r>
        <w:r>
          <w:rPr>
            <w:noProof/>
            <w:webHidden/>
          </w:rPr>
          <w:fldChar w:fldCharType="end"/>
        </w:r>
      </w:hyperlink>
    </w:p>
    <w:p w14:paraId="54C22B93" w14:textId="19337782" w:rsidR="0027526F" w:rsidRDefault="0027526F">
      <w:pPr>
        <w:pStyle w:val="TOC4"/>
        <w:tabs>
          <w:tab w:val="left" w:pos="1540"/>
          <w:tab w:val="right" w:leader="dot" w:pos="8630"/>
        </w:tabs>
        <w:rPr>
          <w:noProof/>
          <w:lang w:eastAsia="es-CO"/>
        </w:rPr>
      </w:pPr>
      <w:hyperlink w:anchor="_Toc226750225" w:history="1">
        <w:r w:rsidRPr="001F3AD6">
          <w:rPr>
            <w:rStyle w:val="Hyperlink"/>
            <w:rFonts w:ascii="Times New Roman" w:hAnsi="Times New Roman"/>
            <w:noProof/>
          </w:rPr>
          <w:t>6.2.3.3</w:t>
        </w:r>
        <w:r>
          <w:rPr>
            <w:noProof/>
            <w:lang w:eastAsia="es-CO"/>
          </w:rPr>
          <w:tab/>
        </w:r>
        <w:r w:rsidRPr="001F3AD6">
          <w:rPr>
            <w:rStyle w:val="Hyperlink"/>
            <w:rFonts w:ascii="Times New Roman" w:hAnsi="Times New Roman"/>
            <w:noProof/>
          </w:rPr>
          <w:t>Percepciones de los grupos de interés</w:t>
        </w:r>
        <w:r>
          <w:rPr>
            <w:noProof/>
            <w:webHidden/>
          </w:rPr>
          <w:tab/>
        </w:r>
        <w:r>
          <w:rPr>
            <w:noProof/>
            <w:webHidden/>
          </w:rPr>
          <w:fldChar w:fldCharType="begin"/>
        </w:r>
        <w:r>
          <w:rPr>
            <w:noProof/>
            <w:webHidden/>
          </w:rPr>
          <w:instrText xml:space="preserve"> PAGEREF _Toc226750225 \h </w:instrText>
        </w:r>
        <w:r>
          <w:rPr>
            <w:noProof/>
            <w:webHidden/>
          </w:rPr>
        </w:r>
        <w:r>
          <w:rPr>
            <w:noProof/>
            <w:webHidden/>
          </w:rPr>
          <w:fldChar w:fldCharType="separate"/>
        </w:r>
        <w:r>
          <w:rPr>
            <w:noProof/>
            <w:webHidden/>
          </w:rPr>
          <w:t>55</w:t>
        </w:r>
        <w:r>
          <w:rPr>
            <w:noProof/>
            <w:webHidden/>
          </w:rPr>
          <w:fldChar w:fldCharType="end"/>
        </w:r>
      </w:hyperlink>
    </w:p>
    <w:p w14:paraId="380E9931" w14:textId="29590668" w:rsidR="0027526F" w:rsidRDefault="0027526F">
      <w:pPr>
        <w:pStyle w:val="TOC3"/>
        <w:tabs>
          <w:tab w:val="left" w:pos="1320"/>
          <w:tab w:val="right" w:leader="dot" w:pos="8630"/>
        </w:tabs>
        <w:rPr>
          <w:noProof/>
          <w:lang w:eastAsia="es-CO"/>
        </w:rPr>
      </w:pPr>
      <w:hyperlink w:anchor="_Toc226750226" w:history="1">
        <w:r w:rsidRPr="001F3AD6">
          <w:rPr>
            <w:rStyle w:val="Hyperlink"/>
            <w:rFonts w:ascii="Times New Roman" w:hAnsi="Times New Roman"/>
            <w:noProof/>
          </w:rPr>
          <w:t>6.2.1</w:t>
        </w:r>
        <w:r>
          <w:rPr>
            <w:noProof/>
            <w:lang w:eastAsia="es-CO"/>
          </w:rPr>
          <w:tab/>
        </w:r>
        <w:r w:rsidRPr="001F3AD6">
          <w:rPr>
            <w:rStyle w:val="Hyperlink"/>
            <w:rFonts w:ascii="Times New Roman" w:hAnsi="Times New Roman"/>
            <w:noProof/>
          </w:rPr>
          <w:t>Eficiencia</w:t>
        </w:r>
        <w:r>
          <w:rPr>
            <w:noProof/>
            <w:webHidden/>
          </w:rPr>
          <w:tab/>
        </w:r>
        <w:r>
          <w:rPr>
            <w:noProof/>
            <w:webHidden/>
          </w:rPr>
          <w:fldChar w:fldCharType="begin"/>
        </w:r>
        <w:r>
          <w:rPr>
            <w:noProof/>
            <w:webHidden/>
          </w:rPr>
          <w:instrText xml:space="preserve"> PAGEREF _Toc226750226 \h </w:instrText>
        </w:r>
        <w:r>
          <w:rPr>
            <w:noProof/>
            <w:webHidden/>
          </w:rPr>
        </w:r>
        <w:r>
          <w:rPr>
            <w:noProof/>
            <w:webHidden/>
          </w:rPr>
          <w:fldChar w:fldCharType="separate"/>
        </w:r>
        <w:r>
          <w:rPr>
            <w:noProof/>
            <w:webHidden/>
          </w:rPr>
          <w:t>55</w:t>
        </w:r>
        <w:r>
          <w:rPr>
            <w:noProof/>
            <w:webHidden/>
          </w:rPr>
          <w:fldChar w:fldCharType="end"/>
        </w:r>
      </w:hyperlink>
    </w:p>
    <w:p w14:paraId="2317D122" w14:textId="2A457F9E" w:rsidR="0027526F" w:rsidRDefault="0027526F">
      <w:pPr>
        <w:pStyle w:val="TOC4"/>
        <w:tabs>
          <w:tab w:val="left" w:pos="1540"/>
          <w:tab w:val="right" w:leader="dot" w:pos="8630"/>
        </w:tabs>
        <w:rPr>
          <w:noProof/>
          <w:lang w:eastAsia="es-CO"/>
        </w:rPr>
      </w:pPr>
      <w:hyperlink w:anchor="_Toc226750227" w:history="1">
        <w:r w:rsidRPr="001F3AD6">
          <w:rPr>
            <w:rStyle w:val="Hyperlink"/>
            <w:noProof/>
          </w:rPr>
          <w:t>6.2.1.1</w:t>
        </w:r>
        <w:r>
          <w:rPr>
            <w:noProof/>
            <w:lang w:eastAsia="es-CO"/>
          </w:rPr>
          <w:tab/>
        </w:r>
        <w:r w:rsidRPr="001F3AD6">
          <w:rPr>
            <w:rStyle w:val="Hyperlink"/>
            <w:noProof/>
          </w:rPr>
          <w:t>Relación entre los recursos utilizados y los resultados alcanzados.</w:t>
        </w:r>
        <w:r>
          <w:rPr>
            <w:noProof/>
            <w:webHidden/>
          </w:rPr>
          <w:tab/>
        </w:r>
        <w:r>
          <w:rPr>
            <w:noProof/>
            <w:webHidden/>
          </w:rPr>
          <w:fldChar w:fldCharType="begin"/>
        </w:r>
        <w:r>
          <w:rPr>
            <w:noProof/>
            <w:webHidden/>
          </w:rPr>
          <w:instrText xml:space="preserve"> PAGEREF _Toc226750227 \h </w:instrText>
        </w:r>
        <w:r>
          <w:rPr>
            <w:noProof/>
            <w:webHidden/>
          </w:rPr>
        </w:r>
        <w:r>
          <w:rPr>
            <w:noProof/>
            <w:webHidden/>
          </w:rPr>
          <w:fldChar w:fldCharType="separate"/>
        </w:r>
        <w:r>
          <w:rPr>
            <w:noProof/>
            <w:webHidden/>
          </w:rPr>
          <w:t>55</w:t>
        </w:r>
        <w:r>
          <w:rPr>
            <w:noProof/>
            <w:webHidden/>
          </w:rPr>
          <w:fldChar w:fldCharType="end"/>
        </w:r>
      </w:hyperlink>
    </w:p>
    <w:p w14:paraId="63BEC124" w14:textId="3377A3E7" w:rsidR="0027526F" w:rsidRDefault="0027526F">
      <w:pPr>
        <w:pStyle w:val="TOC3"/>
        <w:tabs>
          <w:tab w:val="left" w:pos="1320"/>
          <w:tab w:val="right" w:leader="dot" w:pos="8630"/>
        </w:tabs>
        <w:rPr>
          <w:noProof/>
          <w:lang w:eastAsia="es-CO"/>
        </w:rPr>
      </w:pPr>
      <w:hyperlink w:anchor="_Toc226750228" w:history="1">
        <w:r w:rsidRPr="001F3AD6">
          <w:rPr>
            <w:rStyle w:val="Hyperlink"/>
            <w:rFonts w:ascii="Times New Roman" w:hAnsi="Times New Roman"/>
            <w:noProof/>
          </w:rPr>
          <w:t>6.2.2</w:t>
        </w:r>
        <w:r>
          <w:rPr>
            <w:noProof/>
            <w:lang w:eastAsia="es-CO"/>
          </w:rPr>
          <w:tab/>
        </w:r>
        <w:r w:rsidRPr="001F3AD6">
          <w:rPr>
            <w:rStyle w:val="Hyperlink"/>
            <w:rFonts w:ascii="Times New Roman" w:hAnsi="Times New Roman"/>
            <w:noProof/>
          </w:rPr>
          <w:t>Impacto</w:t>
        </w:r>
        <w:r>
          <w:rPr>
            <w:noProof/>
            <w:webHidden/>
          </w:rPr>
          <w:tab/>
        </w:r>
        <w:r>
          <w:rPr>
            <w:noProof/>
            <w:webHidden/>
          </w:rPr>
          <w:fldChar w:fldCharType="begin"/>
        </w:r>
        <w:r>
          <w:rPr>
            <w:noProof/>
            <w:webHidden/>
          </w:rPr>
          <w:instrText xml:space="preserve"> PAGEREF _Toc226750228 \h </w:instrText>
        </w:r>
        <w:r>
          <w:rPr>
            <w:noProof/>
            <w:webHidden/>
          </w:rPr>
        </w:r>
        <w:r>
          <w:rPr>
            <w:noProof/>
            <w:webHidden/>
          </w:rPr>
          <w:fldChar w:fldCharType="separate"/>
        </w:r>
        <w:r>
          <w:rPr>
            <w:noProof/>
            <w:webHidden/>
          </w:rPr>
          <w:t>55</w:t>
        </w:r>
        <w:r>
          <w:rPr>
            <w:noProof/>
            <w:webHidden/>
          </w:rPr>
          <w:fldChar w:fldCharType="end"/>
        </w:r>
      </w:hyperlink>
    </w:p>
    <w:p w14:paraId="28048056" w14:textId="51CC8B33" w:rsidR="0027526F" w:rsidRDefault="0027526F">
      <w:pPr>
        <w:pStyle w:val="TOC4"/>
        <w:tabs>
          <w:tab w:val="left" w:pos="1540"/>
          <w:tab w:val="right" w:leader="dot" w:pos="8630"/>
        </w:tabs>
        <w:rPr>
          <w:noProof/>
          <w:lang w:eastAsia="es-CO"/>
        </w:rPr>
      </w:pPr>
      <w:hyperlink w:anchor="_Toc226750229" w:history="1">
        <w:r w:rsidRPr="001F3AD6">
          <w:rPr>
            <w:rStyle w:val="Hyperlink"/>
            <w:noProof/>
          </w:rPr>
          <w:t>6.2.2.1</w:t>
        </w:r>
        <w:r>
          <w:rPr>
            <w:noProof/>
            <w:lang w:eastAsia="es-CO"/>
          </w:rPr>
          <w:tab/>
        </w:r>
        <w:r w:rsidRPr="001F3AD6">
          <w:rPr>
            <w:rStyle w:val="Hyperlink"/>
            <w:noProof/>
          </w:rPr>
          <w:t>Efectos significativos, positivos o negativos, previstos o no previstos, generados por la intervención.</w:t>
        </w:r>
        <w:r>
          <w:rPr>
            <w:noProof/>
            <w:webHidden/>
          </w:rPr>
          <w:tab/>
        </w:r>
        <w:r>
          <w:rPr>
            <w:noProof/>
            <w:webHidden/>
          </w:rPr>
          <w:fldChar w:fldCharType="begin"/>
        </w:r>
        <w:r>
          <w:rPr>
            <w:noProof/>
            <w:webHidden/>
          </w:rPr>
          <w:instrText xml:space="preserve"> PAGEREF _Toc226750229 \h </w:instrText>
        </w:r>
        <w:r>
          <w:rPr>
            <w:noProof/>
            <w:webHidden/>
          </w:rPr>
        </w:r>
        <w:r>
          <w:rPr>
            <w:noProof/>
            <w:webHidden/>
          </w:rPr>
          <w:fldChar w:fldCharType="separate"/>
        </w:r>
        <w:r>
          <w:rPr>
            <w:noProof/>
            <w:webHidden/>
          </w:rPr>
          <w:t>55</w:t>
        </w:r>
        <w:r>
          <w:rPr>
            <w:noProof/>
            <w:webHidden/>
          </w:rPr>
          <w:fldChar w:fldCharType="end"/>
        </w:r>
      </w:hyperlink>
    </w:p>
    <w:p w14:paraId="4FBC1931" w14:textId="54F12B9A" w:rsidR="0027526F" w:rsidRDefault="0027526F">
      <w:pPr>
        <w:pStyle w:val="TOC3"/>
        <w:tabs>
          <w:tab w:val="left" w:pos="1320"/>
          <w:tab w:val="right" w:leader="dot" w:pos="8630"/>
        </w:tabs>
        <w:rPr>
          <w:noProof/>
          <w:lang w:eastAsia="es-CO"/>
        </w:rPr>
      </w:pPr>
      <w:hyperlink w:anchor="_Toc226750230" w:history="1">
        <w:r w:rsidRPr="001F3AD6">
          <w:rPr>
            <w:rStyle w:val="Hyperlink"/>
            <w:rFonts w:ascii="Times New Roman" w:hAnsi="Times New Roman"/>
            <w:noProof/>
          </w:rPr>
          <w:t>6.2.3</w:t>
        </w:r>
        <w:r>
          <w:rPr>
            <w:noProof/>
            <w:lang w:eastAsia="es-CO"/>
          </w:rPr>
          <w:tab/>
        </w:r>
        <w:r w:rsidRPr="001F3AD6">
          <w:rPr>
            <w:rStyle w:val="Hyperlink"/>
            <w:rFonts w:ascii="Times New Roman" w:hAnsi="Times New Roman"/>
            <w:noProof/>
          </w:rPr>
          <w:t>Sostenibilidad</w:t>
        </w:r>
        <w:r>
          <w:rPr>
            <w:noProof/>
            <w:webHidden/>
          </w:rPr>
          <w:tab/>
        </w:r>
        <w:r>
          <w:rPr>
            <w:noProof/>
            <w:webHidden/>
          </w:rPr>
          <w:fldChar w:fldCharType="begin"/>
        </w:r>
        <w:r>
          <w:rPr>
            <w:noProof/>
            <w:webHidden/>
          </w:rPr>
          <w:instrText xml:space="preserve"> PAGEREF _Toc226750230 \h </w:instrText>
        </w:r>
        <w:r>
          <w:rPr>
            <w:noProof/>
            <w:webHidden/>
          </w:rPr>
        </w:r>
        <w:r>
          <w:rPr>
            <w:noProof/>
            <w:webHidden/>
          </w:rPr>
          <w:fldChar w:fldCharType="separate"/>
        </w:r>
        <w:r>
          <w:rPr>
            <w:noProof/>
            <w:webHidden/>
          </w:rPr>
          <w:t>55</w:t>
        </w:r>
        <w:r>
          <w:rPr>
            <w:noProof/>
            <w:webHidden/>
          </w:rPr>
          <w:fldChar w:fldCharType="end"/>
        </w:r>
      </w:hyperlink>
    </w:p>
    <w:p w14:paraId="7E1F3E3F" w14:textId="288FAC9F" w:rsidR="0027526F" w:rsidRDefault="0027526F">
      <w:pPr>
        <w:pStyle w:val="TOC4"/>
        <w:tabs>
          <w:tab w:val="left" w:pos="1540"/>
          <w:tab w:val="right" w:leader="dot" w:pos="8630"/>
        </w:tabs>
        <w:rPr>
          <w:noProof/>
          <w:lang w:eastAsia="es-CO"/>
        </w:rPr>
      </w:pPr>
      <w:hyperlink w:anchor="_Toc226750231" w:history="1">
        <w:r w:rsidRPr="001F3AD6">
          <w:rPr>
            <w:rStyle w:val="Hyperlink"/>
            <w:rFonts w:ascii="Times New Roman" w:hAnsi="Times New Roman"/>
            <w:noProof/>
          </w:rPr>
          <w:t>6.2.3.1</w:t>
        </w:r>
        <w:r>
          <w:rPr>
            <w:noProof/>
            <w:lang w:eastAsia="es-CO"/>
          </w:rPr>
          <w:tab/>
        </w:r>
        <w:r w:rsidRPr="001F3AD6">
          <w:rPr>
            <w:rStyle w:val="Hyperlink"/>
            <w:rFonts w:ascii="Times New Roman" w:hAnsi="Times New Roman"/>
            <w:noProof/>
          </w:rPr>
          <w:t>Análisis de las condiciones institucionales, técnicas y financieras para la continuidad de los logros alcanzados.</w:t>
        </w:r>
        <w:r>
          <w:rPr>
            <w:noProof/>
            <w:webHidden/>
          </w:rPr>
          <w:tab/>
        </w:r>
        <w:r>
          <w:rPr>
            <w:noProof/>
            <w:webHidden/>
          </w:rPr>
          <w:fldChar w:fldCharType="begin"/>
        </w:r>
        <w:r>
          <w:rPr>
            <w:noProof/>
            <w:webHidden/>
          </w:rPr>
          <w:instrText xml:space="preserve"> PAGEREF _Toc226750231 \h </w:instrText>
        </w:r>
        <w:r>
          <w:rPr>
            <w:noProof/>
            <w:webHidden/>
          </w:rPr>
        </w:r>
        <w:r>
          <w:rPr>
            <w:noProof/>
            <w:webHidden/>
          </w:rPr>
          <w:fldChar w:fldCharType="separate"/>
        </w:r>
        <w:r>
          <w:rPr>
            <w:noProof/>
            <w:webHidden/>
          </w:rPr>
          <w:t>55</w:t>
        </w:r>
        <w:r>
          <w:rPr>
            <w:noProof/>
            <w:webHidden/>
          </w:rPr>
          <w:fldChar w:fldCharType="end"/>
        </w:r>
      </w:hyperlink>
    </w:p>
    <w:p w14:paraId="0FA3E1BD" w14:textId="70306C08" w:rsidR="0027526F" w:rsidRDefault="0027526F">
      <w:pPr>
        <w:pStyle w:val="TOC4"/>
        <w:tabs>
          <w:tab w:val="left" w:pos="1540"/>
          <w:tab w:val="right" w:leader="dot" w:pos="8630"/>
        </w:tabs>
        <w:rPr>
          <w:noProof/>
          <w:lang w:eastAsia="es-CO"/>
        </w:rPr>
      </w:pPr>
      <w:hyperlink w:anchor="_Toc226750232" w:history="1">
        <w:r w:rsidRPr="001F3AD6">
          <w:rPr>
            <w:rStyle w:val="Hyperlink"/>
            <w:rFonts w:ascii="Times New Roman" w:hAnsi="Times New Roman"/>
            <w:noProof/>
          </w:rPr>
          <w:t>6.2.3.2</w:t>
        </w:r>
        <w:r>
          <w:rPr>
            <w:noProof/>
            <w:lang w:eastAsia="es-CO"/>
          </w:rPr>
          <w:tab/>
        </w:r>
        <w:r w:rsidRPr="001F3AD6">
          <w:rPr>
            <w:rStyle w:val="Hyperlink"/>
            <w:rFonts w:ascii="Times New Roman" w:hAnsi="Times New Roman"/>
            <w:noProof/>
          </w:rPr>
          <w:t>Percepciones de los actores</w:t>
        </w:r>
        <w:r>
          <w:rPr>
            <w:noProof/>
            <w:webHidden/>
          </w:rPr>
          <w:tab/>
        </w:r>
        <w:r>
          <w:rPr>
            <w:noProof/>
            <w:webHidden/>
          </w:rPr>
          <w:fldChar w:fldCharType="begin"/>
        </w:r>
        <w:r>
          <w:rPr>
            <w:noProof/>
            <w:webHidden/>
          </w:rPr>
          <w:instrText xml:space="preserve"> PAGEREF _Toc226750232 \h </w:instrText>
        </w:r>
        <w:r>
          <w:rPr>
            <w:noProof/>
            <w:webHidden/>
          </w:rPr>
        </w:r>
        <w:r>
          <w:rPr>
            <w:noProof/>
            <w:webHidden/>
          </w:rPr>
          <w:fldChar w:fldCharType="separate"/>
        </w:r>
        <w:r>
          <w:rPr>
            <w:noProof/>
            <w:webHidden/>
          </w:rPr>
          <w:t>55</w:t>
        </w:r>
        <w:r>
          <w:rPr>
            <w:noProof/>
            <w:webHidden/>
          </w:rPr>
          <w:fldChar w:fldCharType="end"/>
        </w:r>
      </w:hyperlink>
    </w:p>
    <w:p w14:paraId="1D17C40A" w14:textId="593FFE59" w:rsidR="0027526F" w:rsidRDefault="0027526F">
      <w:pPr>
        <w:pStyle w:val="TOC3"/>
        <w:tabs>
          <w:tab w:val="left" w:pos="1320"/>
          <w:tab w:val="right" w:leader="dot" w:pos="8630"/>
        </w:tabs>
        <w:rPr>
          <w:noProof/>
          <w:lang w:eastAsia="es-CO"/>
        </w:rPr>
      </w:pPr>
      <w:hyperlink w:anchor="_Toc226750233" w:history="1">
        <w:r w:rsidRPr="001F3AD6">
          <w:rPr>
            <w:rStyle w:val="Hyperlink"/>
            <w:rFonts w:ascii="Times New Roman" w:hAnsi="Times New Roman"/>
            <w:noProof/>
          </w:rPr>
          <w:t>6.2.1</w:t>
        </w:r>
        <w:r>
          <w:rPr>
            <w:noProof/>
            <w:lang w:eastAsia="es-CO"/>
          </w:rPr>
          <w:tab/>
        </w:r>
        <w:r w:rsidRPr="001F3AD6">
          <w:rPr>
            <w:rStyle w:val="Hyperlink"/>
            <w:rFonts w:ascii="Times New Roman" w:hAnsi="Times New Roman"/>
            <w:noProof/>
          </w:rPr>
          <w:t>Escalabilidad</w:t>
        </w:r>
        <w:r>
          <w:rPr>
            <w:noProof/>
            <w:webHidden/>
          </w:rPr>
          <w:tab/>
        </w:r>
        <w:r>
          <w:rPr>
            <w:noProof/>
            <w:webHidden/>
          </w:rPr>
          <w:fldChar w:fldCharType="begin"/>
        </w:r>
        <w:r>
          <w:rPr>
            <w:noProof/>
            <w:webHidden/>
          </w:rPr>
          <w:instrText xml:space="preserve"> PAGEREF _Toc226750233 \h </w:instrText>
        </w:r>
        <w:r>
          <w:rPr>
            <w:noProof/>
            <w:webHidden/>
          </w:rPr>
        </w:r>
        <w:r>
          <w:rPr>
            <w:noProof/>
            <w:webHidden/>
          </w:rPr>
          <w:fldChar w:fldCharType="separate"/>
        </w:r>
        <w:r>
          <w:rPr>
            <w:noProof/>
            <w:webHidden/>
          </w:rPr>
          <w:t>56</w:t>
        </w:r>
        <w:r>
          <w:rPr>
            <w:noProof/>
            <w:webHidden/>
          </w:rPr>
          <w:fldChar w:fldCharType="end"/>
        </w:r>
      </w:hyperlink>
    </w:p>
    <w:p w14:paraId="33C865D6" w14:textId="54E18993" w:rsidR="0027526F" w:rsidRDefault="0027526F">
      <w:pPr>
        <w:pStyle w:val="TOC4"/>
        <w:tabs>
          <w:tab w:val="left" w:pos="1540"/>
          <w:tab w:val="right" w:leader="dot" w:pos="8630"/>
        </w:tabs>
        <w:rPr>
          <w:noProof/>
          <w:lang w:eastAsia="es-CO"/>
        </w:rPr>
      </w:pPr>
      <w:hyperlink w:anchor="_Toc226750234" w:history="1">
        <w:r w:rsidRPr="001F3AD6">
          <w:rPr>
            <w:rStyle w:val="Hyperlink"/>
            <w:noProof/>
          </w:rPr>
          <w:t>6.2.1.1</w:t>
        </w:r>
        <w:r>
          <w:rPr>
            <w:noProof/>
            <w:lang w:eastAsia="es-CO"/>
          </w:rPr>
          <w:tab/>
        </w:r>
        <w:r w:rsidRPr="001F3AD6">
          <w:rPr>
            <w:rStyle w:val="Hyperlink"/>
            <w:noProof/>
          </w:rPr>
          <w:t>Identificación de oportunidades de replicabilidad y expansión del modelo en otras ciudades o países de la región.</w:t>
        </w:r>
        <w:r>
          <w:rPr>
            <w:noProof/>
            <w:webHidden/>
          </w:rPr>
          <w:tab/>
        </w:r>
        <w:r>
          <w:rPr>
            <w:noProof/>
            <w:webHidden/>
          </w:rPr>
          <w:fldChar w:fldCharType="begin"/>
        </w:r>
        <w:r>
          <w:rPr>
            <w:noProof/>
            <w:webHidden/>
          </w:rPr>
          <w:instrText xml:space="preserve"> PAGEREF _Toc226750234 \h </w:instrText>
        </w:r>
        <w:r>
          <w:rPr>
            <w:noProof/>
            <w:webHidden/>
          </w:rPr>
        </w:r>
        <w:r>
          <w:rPr>
            <w:noProof/>
            <w:webHidden/>
          </w:rPr>
          <w:fldChar w:fldCharType="separate"/>
        </w:r>
        <w:r>
          <w:rPr>
            <w:noProof/>
            <w:webHidden/>
          </w:rPr>
          <w:t>56</w:t>
        </w:r>
        <w:r>
          <w:rPr>
            <w:noProof/>
            <w:webHidden/>
          </w:rPr>
          <w:fldChar w:fldCharType="end"/>
        </w:r>
      </w:hyperlink>
    </w:p>
    <w:p w14:paraId="29F7910B" w14:textId="58FA8263" w:rsidR="0027526F" w:rsidRDefault="0027526F">
      <w:pPr>
        <w:pStyle w:val="TOC1"/>
        <w:tabs>
          <w:tab w:val="left" w:pos="440"/>
          <w:tab w:val="right" w:leader="dot" w:pos="8630"/>
        </w:tabs>
        <w:rPr>
          <w:noProof/>
          <w:lang w:eastAsia="es-CO"/>
        </w:rPr>
      </w:pPr>
      <w:hyperlink w:anchor="_Toc226750235" w:history="1">
        <w:r w:rsidRPr="001F3AD6">
          <w:rPr>
            <w:rStyle w:val="Hyperlink"/>
            <w:rFonts w:ascii="Times New Roman" w:hAnsi="Times New Roman" w:cs="Times New Roman"/>
            <w:noProof/>
          </w:rPr>
          <w:t>7</w:t>
        </w:r>
        <w:r>
          <w:rPr>
            <w:noProof/>
            <w:lang w:eastAsia="es-CO"/>
          </w:rPr>
          <w:tab/>
        </w:r>
        <w:r w:rsidRPr="001F3AD6">
          <w:rPr>
            <w:rStyle w:val="Hyperlink"/>
            <w:rFonts w:ascii="Times New Roman" w:hAnsi="Times New Roman" w:cs="Times New Roman"/>
            <w:noProof/>
          </w:rPr>
          <w:t>Identificación de factores habilitantes y limitantes de la implementación.</w:t>
        </w:r>
        <w:r>
          <w:rPr>
            <w:noProof/>
            <w:webHidden/>
          </w:rPr>
          <w:tab/>
        </w:r>
        <w:r>
          <w:rPr>
            <w:noProof/>
            <w:webHidden/>
          </w:rPr>
          <w:fldChar w:fldCharType="begin"/>
        </w:r>
        <w:r>
          <w:rPr>
            <w:noProof/>
            <w:webHidden/>
          </w:rPr>
          <w:instrText xml:space="preserve"> PAGEREF _Toc226750235 \h </w:instrText>
        </w:r>
        <w:r>
          <w:rPr>
            <w:noProof/>
            <w:webHidden/>
          </w:rPr>
        </w:r>
        <w:r>
          <w:rPr>
            <w:noProof/>
            <w:webHidden/>
          </w:rPr>
          <w:fldChar w:fldCharType="separate"/>
        </w:r>
        <w:r>
          <w:rPr>
            <w:noProof/>
            <w:webHidden/>
          </w:rPr>
          <w:t>56</w:t>
        </w:r>
        <w:r>
          <w:rPr>
            <w:noProof/>
            <w:webHidden/>
          </w:rPr>
          <w:fldChar w:fldCharType="end"/>
        </w:r>
      </w:hyperlink>
    </w:p>
    <w:p w14:paraId="198425B8" w14:textId="7B249040" w:rsidR="0027526F" w:rsidRDefault="0027526F">
      <w:pPr>
        <w:pStyle w:val="TOC2"/>
        <w:tabs>
          <w:tab w:val="left" w:pos="880"/>
          <w:tab w:val="right" w:leader="dot" w:pos="8630"/>
        </w:tabs>
        <w:rPr>
          <w:noProof/>
          <w:lang w:eastAsia="es-CO"/>
        </w:rPr>
      </w:pPr>
      <w:hyperlink w:anchor="_Toc226750236" w:history="1">
        <w:r w:rsidRPr="001F3AD6">
          <w:rPr>
            <w:rStyle w:val="Hyperlink"/>
            <w:rFonts w:ascii="Times New Roman" w:hAnsi="Times New Roman" w:cs="Times New Roman"/>
            <w:noProof/>
          </w:rPr>
          <w:t>7.1</w:t>
        </w:r>
        <w:r>
          <w:rPr>
            <w:noProof/>
            <w:lang w:eastAsia="es-CO"/>
          </w:rPr>
          <w:tab/>
        </w:r>
        <w:r w:rsidRPr="001F3AD6">
          <w:rPr>
            <w:rStyle w:val="Hyperlink"/>
            <w:rFonts w:ascii="Times New Roman" w:hAnsi="Times New Roman" w:cs="Times New Roman"/>
            <w:noProof/>
          </w:rPr>
          <w:t>Factores habilitantes identificados</w:t>
        </w:r>
        <w:r>
          <w:rPr>
            <w:noProof/>
            <w:webHidden/>
          </w:rPr>
          <w:tab/>
        </w:r>
        <w:r>
          <w:rPr>
            <w:noProof/>
            <w:webHidden/>
          </w:rPr>
          <w:fldChar w:fldCharType="begin"/>
        </w:r>
        <w:r>
          <w:rPr>
            <w:noProof/>
            <w:webHidden/>
          </w:rPr>
          <w:instrText xml:space="preserve"> PAGEREF _Toc226750236 \h </w:instrText>
        </w:r>
        <w:r>
          <w:rPr>
            <w:noProof/>
            <w:webHidden/>
          </w:rPr>
        </w:r>
        <w:r>
          <w:rPr>
            <w:noProof/>
            <w:webHidden/>
          </w:rPr>
          <w:fldChar w:fldCharType="separate"/>
        </w:r>
        <w:r>
          <w:rPr>
            <w:noProof/>
            <w:webHidden/>
          </w:rPr>
          <w:t>56</w:t>
        </w:r>
        <w:r>
          <w:rPr>
            <w:noProof/>
            <w:webHidden/>
          </w:rPr>
          <w:fldChar w:fldCharType="end"/>
        </w:r>
      </w:hyperlink>
    </w:p>
    <w:p w14:paraId="7DA7CBB2" w14:textId="3168801C" w:rsidR="0027526F" w:rsidRDefault="0027526F">
      <w:pPr>
        <w:pStyle w:val="TOC2"/>
        <w:tabs>
          <w:tab w:val="left" w:pos="880"/>
          <w:tab w:val="right" w:leader="dot" w:pos="8630"/>
        </w:tabs>
        <w:rPr>
          <w:noProof/>
          <w:lang w:eastAsia="es-CO"/>
        </w:rPr>
      </w:pPr>
      <w:hyperlink w:anchor="_Toc226750237" w:history="1">
        <w:r w:rsidRPr="001F3AD6">
          <w:rPr>
            <w:rStyle w:val="Hyperlink"/>
            <w:rFonts w:ascii="Times New Roman" w:hAnsi="Times New Roman" w:cs="Times New Roman"/>
            <w:noProof/>
          </w:rPr>
          <w:t>7.2</w:t>
        </w:r>
        <w:r>
          <w:rPr>
            <w:noProof/>
            <w:lang w:eastAsia="es-CO"/>
          </w:rPr>
          <w:tab/>
        </w:r>
        <w:r w:rsidRPr="001F3AD6">
          <w:rPr>
            <w:rStyle w:val="Hyperlink"/>
            <w:rFonts w:ascii="Times New Roman" w:hAnsi="Times New Roman" w:cs="Times New Roman"/>
            <w:noProof/>
          </w:rPr>
          <w:t>Factores limitantes de la implementación</w:t>
        </w:r>
        <w:r>
          <w:rPr>
            <w:noProof/>
            <w:webHidden/>
          </w:rPr>
          <w:tab/>
        </w:r>
        <w:r>
          <w:rPr>
            <w:noProof/>
            <w:webHidden/>
          </w:rPr>
          <w:fldChar w:fldCharType="begin"/>
        </w:r>
        <w:r>
          <w:rPr>
            <w:noProof/>
            <w:webHidden/>
          </w:rPr>
          <w:instrText xml:space="preserve"> PAGEREF _Toc226750237 \h </w:instrText>
        </w:r>
        <w:r>
          <w:rPr>
            <w:noProof/>
            <w:webHidden/>
          </w:rPr>
        </w:r>
        <w:r>
          <w:rPr>
            <w:noProof/>
            <w:webHidden/>
          </w:rPr>
          <w:fldChar w:fldCharType="separate"/>
        </w:r>
        <w:r>
          <w:rPr>
            <w:noProof/>
            <w:webHidden/>
          </w:rPr>
          <w:t>57</w:t>
        </w:r>
        <w:r>
          <w:rPr>
            <w:noProof/>
            <w:webHidden/>
          </w:rPr>
          <w:fldChar w:fldCharType="end"/>
        </w:r>
      </w:hyperlink>
    </w:p>
    <w:p w14:paraId="293E7349" w14:textId="5272C231" w:rsidR="0027526F" w:rsidRDefault="0027526F">
      <w:pPr>
        <w:pStyle w:val="TOC1"/>
        <w:tabs>
          <w:tab w:val="left" w:pos="440"/>
          <w:tab w:val="right" w:leader="dot" w:pos="8630"/>
        </w:tabs>
        <w:rPr>
          <w:noProof/>
          <w:lang w:eastAsia="es-CO"/>
        </w:rPr>
      </w:pPr>
      <w:hyperlink w:anchor="_Toc226750238" w:history="1">
        <w:r w:rsidRPr="001F3AD6">
          <w:rPr>
            <w:rStyle w:val="Hyperlink"/>
            <w:noProof/>
          </w:rPr>
          <w:t>8</w:t>
        </w:r>
        <w:r>
          <w:rPr>
            <w:noProof/>
            <w:lang w:eastAsia="es-CO"/>
          </w:rPr>
          <w:tab/>
        </w:r>
        <w:r w:rsidRPr="001F3AD6">
          <w:rPr>
            <w:rStyle w:val="Hyperlink"/>
            <w:noProof/>
          </w:rPr>
          <w:t>Identificación de buenas prácticas y lecciones aprendidas, con énfasis en experiencias transferibles</w:t>
        </w:r>
        <w:r>
          <w:rPr>
            <w:noProof/>
            <w:webHidden/>
          </w:rPr>
          <w:tab/>
        </w:r>
        <w:r>
          <w:rPr>
            <w:noProof/>
            <w:webHidden/>
          </w:rPr>
          <w:fldChar w:fldCharType="begin"/>
        </w:r>
        <w:r>
          <w:rPr>
            <w:noProof/>
            <w:webHidden/>
          </w:rPr>
          <w:instrText xml:space="preserve"> PAGEREF _Toc226750238 \h </w:instrText>
        </w:r>
        <w:r>
          <w:rPr>
            <w:noProof/>
            <w:webHidden/>
          </w:rPr>
        </w:r>
        <w:r>
          <w:rPr>
            <w:noProof/>
            <w:webHidden/>
          </w:rPr>
          <w:fldChar w:fldCharType="separate"/>
        </w:r>
        <w:r>
          <w:rPr>
            <w:noProof/>
            <w:webHidden/>
          </w:rPr>
          <w:t>59</w:t>
        </w:r>
        <w:r>
          <w:rPr>
            <w:noProof/>
            <w:webHidden/>
          </w:rPr>
          <w:fldChar w:fldCharType="end"/>
        </w:r>
      </w:hyperlink>
    </w:p>
    <w:p w14:paraId="5BD988AA" w14:textId="50912E45" w:rsidR="0027526F" w:rsidRDefault="0027526F">
      <w:pPr>
        <w:pStyle w:val="TOC2"/>
        <w:tabs>
          <w:tab w:val="left" w:pos="880"/>
          <w:tab w:val="right" w:leader="dot" w:pos="8630"/>
        </w:tabs>
        <w:rPr>
          <w:noProof/>
          <w:lang w:eastAsia="es-CO"/>
        </w:rPr>
      </w:pPr>
      <w:hyperlink w:anchor="_Toc226750239" w:history="1">
        <w:r w:rsidRPr="001F3AD6">
          <w:rPr>
            <w:rStyle w:val="Hyperlink"/>
            <w:rFonts w:ascii="Times New Roman" w:hAnsi="Times New Roman"/>
            <w:noProof/>
          </w:rPr>
          <w:t>8.1</w:t>
        </w:r>
        <w:r>
          <w:rPr>
            <w:noProof/>
            <w:lang w:eastAsia="es-CO"/>
          </w:rPr>
          <w:tab/>
        </w:r>
        <w:r w:rsidRPr="001F3AD6">
          <w:rPr>
            <w:rStyle w:val="Hyperlink"/>
            <w:rFonts w:ascii="Times New Roman" w:hAnsi="Times New Roman"/>
            <w:noProof/>
          </w:rPr>
          <w:t>Conclusiones sobre pertinencia</w:t>
        </w:r>
        <w:r>
          <w:rPr>
            <w:noProof/>
            <w:webHidden/>
          </w:rPr>
          <w:tab/>
        </w:r>
        <w:r>
          <w:rPr>
            <w:noProof/>
            <w:webHidden/>
          </w:rPr>
          <w:fldChar w:fldCharType="begin"/>
        </w:r>
        <w:r>
          <w:rPr>
            <w:noProof/>
            <w:webHidden/>
          </w:rPr>
          <w:instrText xml:space="preserve"> PAGEREF _Toc226750239 \h </w:instrText>
        </w:r>
        <w:r>
          <w:rPr>
            <w:noProof/>
            <w:webHidden/>
          </w:rPr>
        </w:r>
        <w:r>
          <w:rPr>
            <w:noProof/>
            <w:webHidden/>
          </w:rPr>
          <w:fldChar w:fldCharType="separate"/>
        </w:r>
        <w:r>
          <w:rPr>
            <w:noProof/>
            <w:webHidden/>
          </w:rPr>
          <w:t>59</w:t>
        </w:r>
        <w:r>
          <w:rPr>
            <w:noProof/>
            <w:webHidden/>
          </w:rPr>
          <w:fldChar w:fldCharType="end"/>
        </w:r>
      </w:hyperlink>
    </w:p>
    <w:p w14:paraId="435CD718" w14:textId="2DDE3B8B" w:rsidR="0027526F" w:rsidRDefault="0027526F">
      <w:pPr>
        <w:pStyle w:val="TOC2"/>
        <w:tabs>
          <w:tab w:val="left" w:pos="880"/>
          <w:tab w:val="right" w:leader="dot" w:pos="8630"/>
        </w:tabs>
        <w:rPr>
          <w:noProof/>
          <w:lang w:eastAsia="es-CO"/>
        </w:rPr>
      </w:pPr>
      <w:hyperlink w:anchor="_Toc226750240" w:history="1">
        <w:r w:rsidRPr="001F3AD6">
          <w:rPr>
            <w:rStyle w:val="Hyperlink"/>
            <w:rFonts w:ascii="Times New Roman" w:hAnsi="Times New Roman"/>
            <w:noProof/>
          </w:rPr>
          <w:t>8.2</w:t>
        </w:r>
        <w:r>
          <w:rPr>
            <w:noProof/>
            <w:lang w:eastAsia="es-CO"/>
          </w:rPr>
          <w:tab/>
        </w:r>
        <w:r w:rsidRPr="001F3AD6">
          <w:rPr>
            <w:rStyle w:val="Hyperlink"/>
            <w:rFonts w:ascii="Times New Roman" w:hAnsi="Times New Roman"/>
            <w:noProof/>
          </w:rPr>
          <w:t>Conclusiones sobre sostenibilidad</w:t>
        </w:r>
        <w:r>
          <w:rPr>
            <w:noProof/>
            <w:webHidden/>
          </w:rPr>
          <w:tab/>
        </w:r>
        <w:r>
          <w:rPr>
            <w:noProof/>
            <w:webHidden/>
          </w:rPr>
          <w:fldChar w:fldCharType="begin"/>
        </w:r>
        <w:r>
          <w:rPr>
            <w:noProof/>
            <w:webHidden/>
          </w:rPr>
          <w:instrText xml:space="preserve"> PAGEREF _Toc226750240 \h </w:instrText>
        </w:r>
        <w:r>
          <w:rPr>
            <w:noProof/>
            <w:webHidden/>
          </w:rPr>
        </w:r>
        <w:r>
          <w:rPr>
            <w:noProof/>
            <w:webHidden/>
          </w:rPr>
          <w:fldChar w:fldCharType="separate"/>
        </w:r>
        <w:r>
          <w:rPr>
            <w:noProof/>
            <w:webHidden/>
          </w:rPr>
          <w:t>60</w:t>
        </w:r>
        <w:r>
          <w:rPr>
            <w:noProof/>
            <w:webHidden/>
          </w:rPr>
          <w:fldChar w:fldCharType="end"/>
        </w:r>
      </w:hyperlink>
    </w:p>
    <w:p w14:paraId="5BB49ECA" w14:textId="1B94E30D" w:rsidR="0027526F" w:rsidRDefault="0027526F">
      <w:pPr>
        <w:pStyle w:val="TOC2"/>
        <w:tabs>
          <w:tab w:val="left" w:pos="880"/>
          <w:tab w:val="right" w:leader="dot" w:pos="8630"/>
        </w:tabs>
        <w:rPr>
          <w:noProof/>
          <w:lang w:eastAsia="es-CO"/>
        </w:rPr>
      </w:pPr>
      <w:hyperlink w:anchor="_Toc226750241" w:history="1">
        <w:r w:rsidRPr="001F3AD6">
          <w:rPr>
            <w:rStyle w:val="Hyperlink"/>
            <w:rFonts w:ascii="Times New Roman" w:hAnsi="Times New Roman"/>
            <w:noProof/>
          </w:rPr>
          <w:t>8.3</w:t>
        </w:r>
        <w:r>
          <w:rPr>
            <w:noProof/>
            <w:lang w:eastAsia="es-CO"/>
          </w:rPr>
          <w:tab/>
        </w:r>
        <w:r w:rsidRPr="001F3AD6">
          <w:rPr>
            <w:rStyle w:val="Hyperlink"/>
            <w:rFonts w:ascii="Times New Roman" w:hAnsi="Times New Roman"/>
            <w:noProof/>
          </w:rPr>
          <w:t>Conclusiones sobre posibles buenas prácticas</w:t>
        </w:r>
        <w:r>
          <w:rPr>
            <w:noProof/>
            <w:webHidden/>
          </w:rPr>
          <w:tab/>
        </w:r>
        <w:r>
          <w:rPr>
            <w:noProof/>
            <w:webHidden/>
          </w:rPr>
          <w:fldChar w:fldCharType="begin"/>
        </w:r>
        <w:r>
          <w:rPr>
            <w:noProof/>
            <w:webHidden/>
          </w:rPr>
          <w:instrText xml:space="preserve"> PAGEREF _Toc226750241 \h </w:instrText>
        </w:r>
        <w:r>
          <w:rPr>
            <w:noProof/>
            <w:webHidden/>
          </w:rPr>
        </w:r>
        <w:r>
          <w:rPr>
            <w:noProof/>
            <w:webHidden/>
          </w:rPr>
          <w:fldChar w:fldCharType="separate"/>
        </w:r>
        <w:r>
          <w:rPr>
            <w:noProof/>
            <w:webHidden/>
          </w:rPr>
          <w:t>61</w:t>
        </w:r>
        <w:r>
          <w:rPr>
            <w:noProof/>
            <w:webHidden/>
          </w:rPr>
          <w:fldChar w:fldCharType="end"/>
        </w:r>
      </w:hyperlink>
    </w:p>
    <w:p w14:paraId="3B3C9AE0" w14:textId="0D3B9B9E" w:rsidR="0027526F" w:rsidRDefault="0027526F">
      <w:pPr>
        <w:pStyle w:val="TOC1"/>
        <w:tabs>
          <w:tab w:val="left" w:pos="440"/>
          <w:tab w:val="right" w:leader="dot" w:pos="8630"/>
        </w:tabs>
        <w:rPr>
          <w:noProof/>
          <w:lang w:eastAsia="es-CO"/>
        </w:rPr>
      </w:pPr>
      <w:hyperlink w:anchor="_Toc226750242" w:history="1">
        <w:r w:rsidRPr="001F3AD6">
          <w:rPr>
            <w:rStyle w:val="Hyperlink"/>
            <w:noProof/>
          </w:rPr>
          <w:t>9</w:t>
        </w:r>
        <w:r>
          <w:rPr>
            <w:noProof/>
            <w:lang w:eastAsia="es-CO"/>
          </w:rPr>
          <w:tab/>
        </w:r>
        <w:r w:rsidRPr="001F3AD6">
          <w:rPr>
            <w:rStyle w:val="Hyperlink"/>
            <w:noProof/>
          </w:rPr>
          <w:t>Recomendaciones estratégicas para la consolidación del proyecto y su aprovechamiento por parte de las contrapartes.</w:t>
        </w:r>
        <w:r>
          <w:rPr>
            <w:noProof/>
            <w:webHidden/>
          </w:rPr>
          <w:tab/>
        </w:r>
        <w:r>
          <w:rPr>
            <w:noProof/>
            <w:webHidden/>
          </w:rPr>
          <w:fldChar w:fldCharType="begin"/>
        </w:r>
        <w:r>
          <w:rPr>
            <w:noProof/>
            <w:webHidden/>
          </w:rPr>
          <w:instrText xml:space="preserve"> PAGEREF _Toc226750242 \h </w:instrText>
        </w:r>
        <w:r>
          <w:rPr>
            <w:noProof/>
            <w:webHidden/>
          </w:rPr>
        </w:r>
        <w:r>
          <w:rPr>
            <w:noProof/>
            <w:webHidden/>
          </w:rPr>
          <w:fldChar w:fldCharType="separate"/>
        </w:r>
        <w:r>
          <w:rPr>
            <w:noProof/>
            <w:webHidden/>
          </w:rPr>
          <w:t>62</w:t>
        </w:r>
        <w:r>
          <w:rPr>
            <w:noProof/>
            <w:webHidden/>
          </w:rPr>
          <w:fldChar w:fldCharType="end"/>
        </w:r>
      </w:hyperlink>
    </w:p>
    <w:p w14:paraId="1F0E6802" w14:textId="6CA42C76" w:rsidR="0027526F" w:rsidRDefault="0027526F">
      <w:pPr>
        <w:pStyle w:val="TOC1"/>
        <w:tabs>
          <w:tab w:val="left" w:pos="660"/>
          <w:tab w:val="right" w:leader="dot" w:pos="8630"/>
        </w:tabs>
        <w:rPr>
          <w:noProof/>
          <w:lang w:eastAsia="es-CO"/>
        </w:rPr>
      </w:pPr>
      <w:hyperlink w:anchor="_Toc226750243" w:history="1">
        <w:r w:rsidRPr="001F3AD6">
          <w:rPr>
            <w:rStyle w:val="Hyperlink"/>
            <w:rFonts w:ascii="Times New Roman" w:eastAsia="Times New Roman" w:hAnsi="Times New Roman"/>
            <w:noProof/>
            <w:lang w:eastAsia="es-ES"/>
          </w:rPr>
          <w:t>10</w:t>
        </w:r>
        <w:r>
          <w:rPr>
            <w:noProof/>
            <w:lang w:eastAsia="es-CO"/>
          </w:rPr>
          <w:tab/>
        </w:r>
        <w:r w:rsidRPr="001F3AD6">
          <w:rPr>
            <w:rStyle w:val="Hyperlink"/>
            <w:rFonts w:ascii="Times New Roman" w:eastAsia="Times New Roman" w:hAnsi="Times New Roman"/>
            <w:noProof/>
            <w:lang w:eastAsia="es-ES"/>
          </w:rPr>
          <w:t>Anexos técnicos</w:t>
        </w:r>
        <w:r>
          <w:rPr>
            <w:noProof/>
            <w:webHidden/>
          </w:rPr>
          <w:tab/>
        </w:r>
        <w:r>
          <w:rPr>
            <w:noProof/>
            <w:webHidden/>
          </w:rPr>
          <w:fldChar w:fldCharType="begin"/>
        </w:r>
        <w:r>
          <w:rPr>
            <w:noProof/>
            <w:webHidden/>
          </w:rPr>
          <w:instrText xml:space="preserve"> PAGEREF _Toc226750243 \h </w:instrText>
        </w:r>
        <w:r>
          <w:rPr>
            <w:noProof/>
            <w:webHidden/>
          </w:rPr>
        </w:r>
        <w:r>
          <w:rPr>
            <w:noProof/>
            <w:webHidden/>
          </w:rPr>
          <w:fldChar w:fldCharType="separate"/>
        </w:r>
        <w:r>
          <w:rPr>
            <w:noProof/>
            <w:webHidden/>
          </w:rPr>
          <w:t>65</w:t>
        </w:r>
        <w:r>
          <w:rPr>
            <w:noProof/>
            <w:webHidden/>
          </w:rPr>
          <w:fldChar w:fldCharType="end"/>
        </w:r>
      </w:hyperlink>
    </w:p>
    <w:p w14:paraId="06B8C609" w14:textId="14BEDC9E" w:rsidR="0027526F" w:rsidRDefault="0027526F">
      <w:pPr>
        <w:pStyle w:val="TOC1"/>
        <w:tabs>
          <w:tab w:val="left" w:pos="660"/>
          <w:tab w:val="right" w:leader="dot" w:pos="8630"/>
        </w:tabs>
        <w:rPr>
          <w:noProof/>
          <w:lang w:eastAsia="es-CO"/>
        </w:rPr>
      </w:pPr>
      <w:hyperlink w:anchor="_Toc226750244" w:history="1">
        <w:r w:rsidRPr="001F3AD6">
          <w:rPr>
            <w:rStyle w:val="Hyperlink"/>
            <w:rFonts w:ascii="Times New Roman" w:eastAsia="Times New Roman" w:hAnsi="Times New Roman"/>
            <w:noProof/>
            <w:lang w:eastAsia="es-ES"/>
          </w:rPr>
          <w:t>11</w:t>
        </w:r>
        <w:r>
          <w:rPr>
            <w:noProof/>
            <w:lang w:eastAsia="es-CO"/>
          </w:rPr>
          <w:tab/>
        </w:r>
        <w:r w:rsidRPr="001F3AD6">
          <w:rPr>
            <w:rStyle w:val="Hyperlink"/>
            <w:rFonts w:ascii="Times New Roman" w:eastAsia="Times New Roman" w:hAnsi="Times New Roman"/>
            <w:noProof/>
            <w:lang w:eastAsia="es-ES"/>
          </w:rPr>
          <w:t>Referencias</w:t>
        </w:r>
        <w:r>
          <w:rPr>
            <w:noProof/>
            <w:webHidden/>
          </w:rPr>
          <w:tab/>
        </w:r>
        <w:r>
          <w:rPr>
            <w:noProof/>
            <w:webHidden/>
          </w:rPr>
          <w:fldChar w:fldCharType="begin"/>
        </w:r>
        <w:r>
          <w:rPr>
            <w:noProof/>
            <w:webHidden/>
          </w:rPr>
          <w:instrText xml:space="preserve"> PAGEREF _Toc226750244 \h </w:instrText>
        </w:r>
        <w:r>
          <w:rPr>
            <w:noProof/>
            <w:webHidden/>
          </w:rPr>
        </w:r>
        <w:r>
          <w:rPr>
            <w:noProof/>
            <w:webHidden/>
          </w:rPr>
          <w:fldChar w:fldCharType="separate"/>
        </w:r>
        <w:r>
          <w:rPr>
            <w:noProof/>
            <w:webHidden/>
          </w:rPr>
          <w:t>65</w:t>
        </w:r>
        <w:r>
          <w:rPr>
            <w:noProof/>
            <w:webHidden/>
          </w:rPr>
          <w:fldChar w:fldCharType="end"/>
        </w:r>
      </w:hyperlink>
    </w:p>
    <w:p w14:paraId="1B8B62D5" w14:textId="7991E84F" w:rsidR="005F34CE" w:rsidRPr="007F4E9F" w:rsidRDefault="005F34CE" w:rsidP="0032235A">
      <w:pPr>
        <w:jc w:val="both"/>
        <w:rPr>
          <w:rFonts w:ascii="Times New Roman" w:hAnsi="Times New Roman" w:cs="Times New Roman"/>
        </w:rPr>
      </w:pPr>
      <w:r w:rsidRPr="007F4E9F">
        <w:rPr>
          <w:rFonts w:ascii="Times New Roman" w:hAnsi="Times New Roman" w:cs="Times New Roman"/>
        </w:rPr>
        <w:fldChar w:fldCharType="end"/>
      </w:r>
    </w:p>
    <w:p w14:paraId="6BF0DBFC" w14:textId="07754A93" w:rsidR="005F34CE" w:rsidRPr="007F4E9F" w:rsidRDefault="005F34CE" w:rsidP="0032235A">
      <w:pPr>
        <w:jc w:val="both"/>
        <w:rPr>
          <w:rFonts w:ascii="Times New Roman" w:hAnsi="Times New Roman" w:cs="Times New Roman"/>
          <w:b/>
          <w:bCs/>
        </w:rPr>
      </w:pPr>
      <w:r w:rsidRPr="007F4E9F">
        <w:rPr>
          <w:rFonts w:ascii="Times New Roman" w:hAnsi="Times New Roman" w:cs="Times New Roman"/>
          <w:b/>
          <w:bCs/>
        </w:rPr>
        <w:t xml:space="preserve">Lista de </w:t>
      </w:r>
      <w:r w:rsidR="00D24D17" w:rsidRPr="007F4E9F">
        <w:rPr>
          <w:rFonts w:ascii="Times New Roman" w:hAnsi="Times New Roman" w:cs="Times New Roman"/>
          <w:b/>
          <w:bCs/>
        </w:rPr>
        <w:t>tablas</w:t>
      </w:r>
    </w:p>
    <w:p w14:paraId="03EDEB0E" w14:textId="4116B644" w:rsidR="00D445D9" w:rsidRPr="007F4E9F" w:rsidRDefault="005F34CE">
      <w:pPr>
        <w:pStyle w:val="TableofFigures"/>
        <w:tabs>
          <w:tab w:val="right" w:leader="dot" w:pos="8630"/>
        </w:tabs>
        <w:rPr>
          <w:noProof/>
          <w:lang w:eastAsia="es-CO"/>
        </w:rPr>
      </w:pPr>
      <w:r w:rsidRPr="007F4E9F">
        <w:rPr>
          <w:rFonts w:ascii="Times New Roman" w:hAnsi="Times New Roman" w:cs="Times New Roman"/>
        </w:rPr>
        <w:fldChar w:fldCharType="begin"/>
      </w:r>
      <w:r w:rsidRPr="007F4E9F">
        <w:rPr>
          <w:rFonts w:ascii="Times New Roman" w:hAnsi="Times New Roman" w:cs="Times New Roman"/>
        </w:rPr>
        <w:instrText xml:space="preserve"> TOC \h \z \c "Tabla" </w:instrText>
      </w:r>
      <w:r w:rsidRPr="007F4E9F">
        <w:rPr>
          <w:rFonts w:ascii="Times New Roman" w:hAnsi="Times New Roman" w:cs="Times New Roman"/>
        </w:rPr>
        <w:fldChar w:fldCharType="separate"/>
      </w:r>
      <w:hyperlink w:anchor="_Toc225848227" w:history="1">
        <w:r w:rsidR="00D445D9" w:rsidRPr="007F4E9F">
          <w:rPr>
            <w:rStyle w:val="Hyperlink"/>
            <w:rFonts w:ascii="Times New Roman" w:hAnsi="Times New Roman" w:cs="Times New Roman"/>
            <w:noProof/>
          </w:rPr>
          <w:t xml:space="preserve">Tabla 1 </w:t>
        </w:r>
        <w:r w:rsidR="00D445D9" w:rsidRPr="007F4E9F">
          <w:rPr>
            <w:rStyle w:val="Hyperlink"/>
            <w:rFonts w:ascii="Times New Roman" w:hAnsi="Times New Roman" w:cs="Times New Roman"/>
            <w:i/>
            <w:iCs/>
            <w:noProof/>
          </w:rPr>
          <w:t>Criterios aplicados metodología OCDE-CAD</w:t>
        </w:r>
        <w:r w:rsidR="00D445D9" w:rsidRPr="007F4E9F">
          <w:rPr>
            <w:noProof/>
            <w:webHidden/>
          </w:rPr>
          <w:tab/>
        </w:r>
        <w:r w:rsidR="00D445D9" w:rsidRPr="007F4E9F">
          <w:rPr>
            <w:noProof/>
            <w:webHidden/>
          </w:rPr>
          <w:fldChar w:fldCharType="begin"/>
        </w:r>
        <w:r w:rsidR="00D445D9" w:rsidRPr="007F4E9F">
          <w:rPr>
            <w:noProof/>
            <w:webHidden/>
          </w:rPr>
          <w:instrText xml:space="preserve"> PAGEREF _Toc225848227 \h </w:instrText>
        </w:r>
        <w:r w:rsidR="00D445D9" w:rsidRPr="007F4E9F">
          <w:rPr>
            <w:noProof/>
            <w:webHidden/>
          </w:rPr>
        </w:r>
        <w:r w:rsidR="00D445D9" w:rsidRPr="007F4E9F">
          <w:rPr>
            <w:noProof/>
            <w:webHidden/>
          </w:rPr>
          <w:fldChar w:fldCharType="separate"/>
        </w:r>
        <w:r w:rsidR="00CB1A80" w:rsidRPr="007F4E9F">
          <w:rPr>
            <w:noProof/>
            <w:webHidden/>
          </w:rPr>
          <w:t>10</w:t>
        </w:r>
        <w:r w:rsidR="00D445D9" w:rsidRPr="007F4E9F">
          <w:rPr>
            <w:noProof/>
            <w:webHidden/>
          </w:rPr>
          <w:fldChar w:fldCharType="end"/>
        </w:r>
      </w:hyperlink>
    </w:p>
    <w:p w14:paraId="595F384C" w14:textId="05CD9E14" w:rsidR="00D445D9" w:rsidRPr="007F4E9F" w:rsidRDefault="00D445D9">
      <w:pPr>
        <w:pStyle w:val="TableofFigures"/>
        <w:tabs>
          <w:tab w:val="right" w:leader="dot" w:pos="8630"/>
        </w:tabs>
        <w:rPr>
          <w:noProof/>
          <w:lang w:eastAsia="es-CO"/>
        </w:rPr>
      </w:pPr>
      <w:hyperlink w:anchor="_Toc225848228" w:history="1">
        <w:r w:rsidRPr="007F4E9F">
          <w:rPr>
            <w:rStyle w:val="Hyperlink"/>
            <w:rFonts w:ascii="Times New Roman" w:hAnsi="Times New Roman" w:cs="Times New Roman"/>
            <w:noProof/>
          </w:rPr>
          <w:t xml:space="preserve">Tabla 2 </w:t>
        </w:r>
        <w:r w:rsidRPr="007F4E9F">
          <w:rPr>
            <w:rStyle w:val="Hyperlink"/>
            <w:rFonts w:ascii="Times New Roman" w:hAnsi="Times New Roman" w:cs="Times New Roman"/>
            <w:i/>
            <w:iCs/>
            <w:noProof/>
          </w:rPr>
          <w:t>Prioridad de criterio vs actor</w:t>
        </w:r>
        <w:r w:rsidRPr="007F4E9F">
          <w:rPr>
            <w:noProof/>
            <w:webHidden/>
          </w:rPr>
          <w:tab/>
        </w:r>
        <w:r w:rsidRPr="007F4E9F">
          <w:rPr>
            <w:noProof/>
            <w:webHidden/>
          </w:rPr>
          <w:fldChar w:fldCharType="begin"/>
        </w:r>
        <w:r w:rsidRPr="007F4E9F">
          <w:rPr>
            <w:noProof/>
            <w:webHidden/>
          </w:rPr>
          <w:instrText xml:space="preserve"> PAGEREF _Toc225848228 \h </w:instrText>
        </w:r>
        <w:r w:rsidRPr="007F4E9F">
          <w:rPr>
            <w:noProof/>
            <w:webHidden/>
          </w:rPr>
        </w:r>
        <w:r w:rsidRPr="007F4E9F">
          <w:rPr>
            <w:noProof/>
            <w:webHidden/>
          </w:rPr>
          <w:fldChar w:fldCharType="separate"/>
        </w:r>
        <w:r w:rsidR="00CB1A80" w:rsidRPr="007F4E9F">
          <w:rPr>
            <w:noProof/>
            <w:webHidden/>
          </w:rPr>
          <w:t>12</w:t>
        </w:r>
        <w:r w:rsidRPr="007F4E9F">
          <w:rPr>
            <w:noProof/>
            <w:webHidden/>
          </w:rPr>
          <w:fldChar w:fldCharType="end"/>
        </w:r>
      </w:hyperlink>
    </w:p>
    <w:p w14:paraId="34FFAF00" w14:textId="03881561" w:rsidR="00D445D9" w:rsidRPr="007F4E9F" w:rsidRDefault="00D445D9">
      <w:pPr>
        <w:pStyle w:val="TableofFigures"/>
        <w:tabs>
          <w:tab w:val="right" w:leader="dot" w:pos="8630"/>
        </w:tabs>
        <w:rPr>
          <w:noProof/>
          <w:lang w:eastAsia="es-CO"/>
        </w:rPr>
      </w:pPr>
      <w:hyperlink w:anchor="_Toc225848229" w:history="1">
        <w:r w:rsidRPr="007F4E9F">
          <w:rPr>
            <w:rStyle w:val="Hyperlink"/>
            <w:rFonts w:ascii="Times New Roman" w:hAnsi="Times New Roman" w:cs="Times New Roman"/>
            <w:noProof/>
          </w:rPr>
          <w:t xml:space="preserve">Tabla 3 </w:t>
        </w:r>
        <w:r w:rsidRPr="007F4E9F">
          <w:rPr>
            <w:rStyle w:val="Hyperlink"/>
            <w:rFonts w:ascii="Times New Roman" w:hAnsi="Times New Roman" w:cs="Times New Roman"/>
            <w:i/>
            <w:iCs/>
            <w:noProof/>
          </w:rPr>
          <w:t>Instrumentos para la captura de información</w:t>
        </w:r>
        <w:r w:rsidRPr="007F4E9F">
          <w:rPr>
            <w:noProof/>
            <w:webHidden/>
          </w:rPr>
          <w:tab/>
        </w:r>
        <w:r w:rsidRPr="007F4E9F">
          <w:rPr>
            <w:noProof/>
            <w:webHidden/>
          </w:rPr>
          <w:fldChar w:fldCharType="begin"/>
        </w:r>
        <w:r w:rsidRPr="007F4E9F">
          <w:rPr>
            <w:noProof/>
            <w:webHidden/>
          </w:rPr>
          <w:instrText xml:space="preserve"> PAGEREF _Toc225848229 \h </w:instrText>
        </w:r>
        <w:r w:rsidRPr="007F4E9F">
          <w:rPr>
            <w:noProof/>
            <w:webHidden/>
          </w:rPr>
        </w:r>
        <w:r w:rsidRPr="007F4E9F">
          <w:rPr>
            <w:noProof/>
            <w:webHidden/>
          </w:rPr>
          <w:fldChar w:fldCharType="separate"/>
        </w:r>
        <w:r w:rsidR="00CB1A80" w:rsidRPr="007F4E9F">
          <w:rPr>
            <w:noProof/>
            <w:webHidden/>
          </w:rPr>
          <w:t>12</w:t>
        </w:r>
        <w:r w:rsidRPr="007F4E9F">
          <w:rPr>
            <w:noProof/>
            <w:webHidden/>
          </w:rPr>
          <w:fldChar w:fldCharType="end"/>
        </w:r>
      </w:hyperlink>
    </w:p>
    <w:p w14:paraId="4FE96259" w14:textId="66DE6C32" w:rsidR="00D445D9" w:rsidRPr="007F4E9F" w:rsidRDefault="00D445D9">
      <w:pPr>
        <w:pStyle w:val="TableofFigures"/>
        <w:tabs>
          <w:tab w:val="right" w:leader="dot" w:pos="8630"/>
        </w:tabs>
        <w:rPr>
          <w:noProof/>
          <w:lang w:eastAsia="es-CO"/>
        </w:rPr>
      </w:pPr>
      <w:hyperlink w:anchor="_Toc225848230" w:history="1">
        <w:r w:rsidRPr="007F4E9F">
          <w:rPr>
            <w:rStyle w:val="Hyperlink"/>
            <w:rFonts w:ascii="Times New Roman" w:hAnsi="Times New Roman" w:cs="Times New Roman"/>
            <w:noProof/>
          </w:rPr>
          <w:t xml:space="preserve">Tabla 4 </w:t>
        </w:r>
        <w:r w:rsidRPr="007F4E9F">
          <w:rPr>
            <w:rStyle w:val="Hyperlink"/>
            <w:rFonts w:ascii="Times New Roman" w:hAnsi="Times New Roman" w:cs="Times New Roman"/>
            <w:i/>
            <w:iCs/>
            <w:noProof/>
          </w:rPr>
          <w:t>Sectores con potencial de economía circular por ciudad</w:t>
        </w:r>
        <w:r w:rsidRPr="007F4E9F">
          <w:rPr>
            <w:noProof/>
            <w:webHidden/>
          </w:rPr>
          <w:tab/>
        </w:r>
        <w:r w:rsidRPr="007F4E9F">
          <w:rPr>
            <w:noProof/>
            <w:webHidden/>
          </w:rPr>
          <w:fldChar w:fldCharType="begin"/>
        </w:r>
        <w:r w:rsidRPr="007F4E9F">
          <w:rPr>
            <w:noProof/>
            <w:webHidden/>
          </w:rPr>
          <w:instrText xml:space="preserve"> PAGEREF _Toc225848230 \h </w:instrText>
        </w:r>
        <w:r w:rsidRPr="007F4E9F">
          <w:rPr>
            <w:noProof/>
            <w:webHidden/>
          </w:rPr>
        </w:r>
        <w:r w:rsidRPr="007F4E9F">
          <w:rPr>
            <w:noProof/>
            <w:webHidden/>
          </w:rPr>
          <w:fldChar w:fldCharType="separate"/>
        </w:r>
        <w:r w:rsidR="00CB1A80" w:rsidRPr="007F4E9F">
          <w:rPr>
            <w:noProof/>
            <w:webHidden/>
          </w:rPr>
          <w:t>17</w:t>
        </w:r>
        <w:r w:rsidRPr="007F4E9F">
          <w:rPr>
            <w:noProof/>
            <w:webHidden/>
          </w:rPr>
          <w:fldChar w:fldCharType="end"/>
        </w:r>
      </w:hyperlink>
    </w:p>
    <w:p w14:paraId="476ED7E2" w14:textId="05E55045" w:rsidR="00D445D9" w:rsidRPr="007F4E9F" w:rsidRDefault="00D445D9">
      <w:pPr>
        <w:pStyle w:val="TableofFigures"/>
        <w:tabs>
          <w:tab w:val="right" w:leader="dot" w:pos="8630"/>
        </w:tabs>
        <w:rPr>
          <w:noProof/>
          <w:lang w:eastAsia="es-CO"/>
        </w:rPr>
      </w:pPr>
      <w:hyperlink w:anchor="_Toc225848231" w:history="1">
        <w:r w:rsidRPr="007F4E9F">
          <w:rPr>
            <w:rStyle w:val="Hyperlink"/>
            <w:rFonts w:ascii="Times New Roman" w:hAnsi="Times New Roman" w:cs="Times New Roman"/>
            <w:noProof/>
          </w:rPr>
          <w:t xml:space="preserve">Tabla 5 </w:t>
        </w:r>
        <w:r w:rsidRPr="007F4E9F">
          <w:rPr>
            <w:rStyle w:val="Hyperlink"/>
            <w:rFonts w:ascii="Times New Roman" w:hAnsi="Times New Roman" w:cs="Times New Roman"/>
            <w:i/>
            <w:iCs/>
            <w:noProof/>
          </w:rPr>
          <w:t>Evaluación técnica de los sectores priorizados por ciudad</w:t>
        </w:r>
        <w:r w:rsidRPr="007F4E9F">
          <w:rPr>
            <w:noProof/>
            <w:webHidden/>
          </w:rPr>
          <w:tab/>
        </w:r>
        <w:r w:rsidRPr="007F4E9F">
          <w:rPr>
            <w:noProof/>
            <w:webHidden/>
          </w:rPr>
          <w:fldChar w:fldCharType="begin"/>
        </w:r>
        <w:r w:rsidRPr="007F4E9F">
          <w:rPr>
            <w:noProof/>
            <w:webHidden/>
          </w:rPr>
          <w:instrText xml:space="preserve"> PAGEREF _Toc225848231 \h </w:instrText>
        </w:r>
        <w:r w:rsidRPr="007F4E9F">
          <w:rPr>
            <w:noProof/>
            <w:webHidden/>
          </w:rPr>
        </w:r>
        <w:r w:rsidRPr="007F4E9F">
          <w:rPr>
            <w:noProof/>
            <w:webHidden/>
          </w:rPr>
          <w:fldChar w:fldCharType="separate"/>
        </w:r>
        <w:r w:rsidR="00CB1A80" w:rsidRPr="007F4E9F">
          <w:rPr>
            <w:noProof/>
            <w:webHidden/>
          </w:rPr>
          <w:t>18</w:t>
        </w:r>
        <w:r w:rsidRPr="007F4E9F">
          <w:rPr>
            <w:noProof/>
            <w:webHidden/>
          </w:rPr>
          <w:fldChar w:fldCharType="end"/>
        </w:r>
      </w:hyperlink>
    </w:p>
    <w:p w14:paraId="025CD3FE" w14:textId="7C5449F0" w:rsidR="00D445D9" w:rsidRPr="007F4E9F" w:rsidRDefault="00D445D9">
      <w:pPr>
        <w:pStyle w:val="TableofFigures"/>
        <w:tabs>
          <w:tab w:val="right" w:leader="dot" w:pos="8630"/>
        </w:tabs>
        <w:rPr>
          <w:noProof/>
          <w:lang w:eastAsia="es-CO"/>
        </w:rPr>
      </w:pPr>
      <w:hyperlink w:anchor="_Toc225848232" w:history="1">
        <w:r w:rsidRPr="007F4E9F">
          <w:rPr>
            <w:rStyle w:val="Hyperlink"/>
            <w:rFonts w:ascii="Times New Roman" w:hAnsi="Times New Roman" w:cs="Times New Roman"/>
            <w:noProof/>
          </w:rPr>
          <w:t xml:space="preserve">Tabla 6 </w:t>
        </w:r>
        <w:r w:rsidRPr="007F4E9F">
          <w:rPr>
            <w:rStyle w:val="Hyperlink"/>
            <w:rFonts w:ascii="Times New Roman" w:hAnsi="Times New Roman" w:cs="Times New Roman"/>
            <w:i/>
            <w:iCs/>
            <w:noProof/>
          </w:rPr>
          <w:t>Resumen de batería de indicadores investigadas</w:t>
        </w:r>
        <w:r w:rsidRPr="007F4E9F">
          <w:rPr>
            <w:noProof/>
            <w:webHidden/>
          </w:rPr>
          <w:tab/>
        </w:r>
        <w:r w:rsidRPr="007F4E9F">
          <w:rPr>
            <w:noProof/>
            <w:webHidden/>
          </w:rPr>
          <w:fldChar w:fldCharType="begin"/>
        </w:r>
        <w:r w:rsidRPr="007F4E9F">
          <w:rPr>
            <w:noProof/>
            <w:webHidden/>
          </w:rPr>
          <w:instrText xml:space="preserve"> PAGEREF _Toc225848232 \h </w:instrText>
        </w:r>
        <w:r w:rsidRPr="007F4E9F">
          <w:rPr>
            <w:noProof/>
            <w:webHidden/>
          </w:rPr>
        </w:r>
        <w:r w:rsidRPr="007F4E9F">
          <w:rPr>
            <w:noProof/>
            <w:webHidden/>
          </w:rPr>
          <w:fldChar w:fldCharType="separate"/>
        </w:r>
        <w:r w:rsidR="00CB1A80" w:rsidRPr="007F4E9F">
          <w:rPr>
            <w:noProof/>
            <w:webHidden/>
          </w:rPr>
          <w:t>19</w:t>
        </w:r>
        <w:r w:rsidRPr="007F4E9F">
          <w:rPr>
            <w:noProof/>
            <w:webHidden/>
          </w:rPr>
          <w:fldChar w:fldCharType="end"/>
        </w:r>
      </w:hyperlink>
    </w:p>
    <w:p w14:paraId="3E3D776A" w14:textId="109ECEB3" w:rsidR="00D445D9" w:rsidRPr="007F4E9F" w:rsidRDefault="00D445D9">
      <w:pPr>
        <w:pStyle w:val="TableofFigures"/>
        <w:tabs>
          <w:tab w:val="right" w:leader="dot" w:pos="8630"/>
        </w:tabs>
        <w:rPr>
          <w:noProof/>
          <w:lang w:eastAsia="es-CO"/>
        </w:rPr>
      </w:pPr>
      <w:hyperlink w:anchor="_Toc225848233" w:history="1">
        <w:r w:rsidRPr="007F4E9F">
          <w:rPr>
            <w:rStyle w:val="Hyperlink"/>
            <w:rFonts w:ascii="Times New Roman" w:hAnsi="Times New Roman" w:cs="Times New Roman"/>
            <w:noProof/>
          </w:rPr>
          <w:t xml:space="preserve">Tabla 7 </w:t>
        </w:r>
        <w:r w:rsidRPr="007F4E9F">
          <w:rPr>
            <w:rStyle w:val="Hyperlink"/>
            <w:rFonts w:ascii="Times New Roman" w:hAnsi="Times New Roman" w:cs="Times New Roman"/>
            <w:i/>
            <w:iCs/>
            <w:noProof/>
          </w:rPr>
          <w:t>Batería de indicadores del Marketplace</w:t>
        </w:r>
        <w:r w:rsidRPr="007F4E9F">
          <w:rPr>
            <w:noProof/>
            <w:webHidden/>
          </w:rPr>
          <w:tab/>
        </w:r>
        <w:r w:rsidRPr="007F4E9F">
          <w:rPr>
            <w:noProof/>
            <w:webHidden/>
          </w:rPr>
          <w:fldChar w:fldCharType="begin"/>
        </w:r>
        <w:r w:rsidRPr="007F4E9F">
          <w:rPr>
            <w:noProof/>
            <w:webHidden/>
          </w:rPr>
          <w:instrText xml:space="preserve"> PAGEREF _Toc225848233 \h </w:instrText>
        </w:r>
        <w:r w:rsidRPr="007F4E9F">
          <w:rPr>
            <w:noProof/>
            <w:webHidden/>
          </w:rPr>
        </w:r>
        <w:r w:rsidRPr="007F4E9F">
          <w:rPr>
            <w:noProof/>
            <w:webHidden/>
          </w:rPr>
          <w:fldChar w:fldCharType="separate"/>
        </w:r>
        <w:r w:rsidR="00CB1A80" w:rsidRPr="007F4E9F">
          <w:rPr>
            <w:noProof/>
            <w:webHidden/>
          </w:rPr>
          <w:t>20</w:t>
        </w:r>
        <w:r w:rsidRPr="007F4E9F">
          <w:rPr>
            <w:noProof/>
            <w:webHidden/>
          </w:rPr>
          <w:fldChar w:fldCharType="end"/>
        </w:r>
      </w:hyperlink>
    </w:p>
    <w:p w14:paraId="571AE391" w14:textId="5184C549" w:rsidR="00D445D9" w:rsidRPr="007F4E9F" w:rsidRDefault="00D445D9">
      <w:pPr>
        <w:pStyle w:val="TableofFigures"/>
        <w:tabs>
          <w:tab w:val="right" w:leader="dot" w:pos="8630"/>
        </w:tabs>
        <w:rPr>
          <w:noProof/>
          <w:lang w:eastAsia="es-CO"/>
        </w:rPr>
      </w:pPr>
      <w:hyperlink w:anchor="_Toc225848234" w:history="1">
        <w:r w:rsidRPr="007F4E9F">
          <w:rPr>
            <w:rStyle w:val="Hyperlink"/>
            <w:rFonts w:ascii="Times New Roman" w:hAnsi="Times New Roman" w:cs="Times New Roman"/>
            <w:noProof/>
          </w:rPr>
          <w:t xml:space="preserve">Tabla 8 </w:t>
        </w:r>
        <w:r w:rsidRPr="007F4E9F">
          <w:rPr>
            <w:rStyle w:val="Hyperlink"/>
            <w:rFonts w:ascii="Times New Roman" w:hAnsi="Times New Roman" w:cs="Times New Roman"/>
            <w:i/>
            <w:iCs/>
            <w:noProof/>
          </w:rPr>
          <w:t>Actividades y productos consultoría componente 1</w:t>
        </w:r>
        <w:r w:rsidRPr="007F4E9F">
          <w:rPr>
            <w:noProof/>
            <w:webHidden/>
          </w:rPr>
          <w:tab/>
        </w:r>
        <w:r w:rsidRPr="007F4E9F">
          <w:rPr>
            <w:noProof/>
            <w:webHidden/>
          </w:rPr>
          <w:fldChar w:fldCharType="begin"/>
        </w:r>
        <w:r w:rsidRPr="007F4E9F">
          <w:rPr>
            <w:noProof/>
            <w:webHidden/>
          </w:rPr>
          <w:instrText xml:space="preserve"> PAGEREF _Toc225848234 \h </w:instrText>
        </w:r>
        <w:r w:rsidRPr="007F4E9F">
          <w:rPr>
            <w:noProof/>
            <w:webHidden/>
          </w:rPr>
        </w:r>
        <w:r w:rsidRPr="007F4E9F">
          <w:rPr>
            <w:noProof/>
            <w:webHidden/>
          </w:rPr>
          <w:fldChar w:fldCharType="separate"/>
        </w:r>
        <w:r w:rsidR="00CB1A80" w:rsidRPr="007F4E9F">
          <w:rPr>
            <w:noProof/>
            <w:webHidden/>
          </w:rPr>
          <w:t>26</w:t>
        </w:r>
        <w:r w:rsidRPr="007F4E9F">
          <w:rPr>
            <w:noProof/>
            <w:webHidden/>
          </w:rPr>
          <w:fldChar w:fldCharType="end"/>
        </w:r>
      </w:hyperlink>
    </w:p>
    <w:p w14:paraId="3D991C26" w14:textId="7FA964B7" w:rsidR="00D445D9" w:rsidRPr="007F4E9F" w:rsidRDefault="00D445D9">
      <w:pPr>
        <w:pStyle w:val="TableofFigures"/>
        <w:tabs>
          <w:tab w:val="right" w:leader="dot" w:pos="8630"/>
        </w:tabs>
        <w:rPr>
          <w:noProof/>
          <w:lang w:eastAsia="es-CO"/>
        </w:rPr>
      </w:pPr>
      <w:hyperlink w:anchor="_Toc225848235" w:history="1">
        <w:r w:rsidRPr="007F4E9F">
          <w:rPr>
            <w:rStyle w:val="Hyperlink"/>
            <w:rFonts w:ascii="Times New Roman" w:hAnsi="Times New Roman" w:cs="Times New Roman"/>
            <w:noProof/>
          </w:rPr>
          <w:t xml:space="preserve">Tabla 9 </w:t>
        </w:r>
        <w:r w:rsidRPr="007F4E9F">
          <w:rPr>
            <w:rStyle w:val="Hyperlink"/>
            <w:rFonts w:ascii="Times New Roman" w:hAnsi="Times New Roman" w:cs="Times New Roman"/>
            <w:i/>
            <w:iCs/>
            <w:noProof/>
          </w:rPr>
          <w:t>Matriz de resultados</w:t>
        </w:r>
        <w:r w:rsidRPr="007F4E9F">
          <w:rPr>
            <w:noProof/>
            <w:webHidden/>
          </w:rPr>
          <w:tab/>
        </w:r>
        <w:r w:rsidRPr="007F4E9F">
          <w:rPr>
            <w:noProof/>
            <w:webHidden/>
          </w:rPr>
          <w:fldChar w:fldCharType="begin"/>
        </w:r>
        <w:r w:rsidRPr="007F4E9F">
          <w:rPr>
            <w:noProof/>
            <w:webHidden/>
          </w:rPr>
          <w:instrText xml:space="preserve"> PAGEREF _Toc225848235 \h </w:instrText>
        </w:r>
        <w:r w:rsidRPr="007F4E9F">
          <w:rPr>
            <w:noProof/>
            <w:webHidden/>
          </w:rPr>
        </w:r>
        <w:r w:rsidRPr="007F4E9F">
          <w:rPr>
            <w:noProof/>
            <w:webHidden/>
          </w:rPr>
          <w:fldChar w:fldCharType="separate"/>
        </w:r>
        <w:r w:rsidR="00CB1A80" w:rsidRPr="007F4E9F">
          <w:rPr>
            <w:noProof/>
            <w:webHidden/>
          </w:rPr>
          <w:t>30</w:t>
        </w:r>
        <w:r w:rsidRPr="007F4E9F">
          <w:rPr>
            <w:noProof/>
            <w:webHidden/>
          </w:rPr>
          <w:fldChar w:fldCharType="end"/>
        </w:r>
      </w:hyperlink>
    </w:p>
    <w:p w14:paraId="35D9BBEA" w14:textId="5F614EF1" w:rsidR="00D445D9" w:rsidRPr="007F4E9F" w:rsidRDefault="00D445D9">
      <w:pPr>
        <w:pStyle w:val="TableofFigures"/>
        <w:tabs>
          <w:tab w:val="right" w:leader="dot" w:pos="8630"/>
        </w:tabs>
        <w:rPr>
          <w:noProof/>
          <w:lang w:eastAsia="es-CO"/>
        </w:rPr>
      </w:pPr>
      <w:hyperlink w:anchor="_Toc225848236" w:history="1">
        <w:r w:rsidRPr="007F4E9F">
          <w:rPr>
            <w:rStyle w:val="Hyperlink"/>
            <w:rFonts w:ascii="Times New Roman" w:hAnsi="Times New Roman"/>
            <w:noProof/>
          </w:rPr>
          <w:t xml:space="preserve">Tabla 10 </w:t>
        </w:r>
        <w:r w:rsidRPr="007F4E9F">
          <w:rPr>
            <w:rStyle w:val="Hyperlink"/>
            <w:rFonts w:ascii="Times New Roman" w:hAnsi="Times New Roman"/>
            <w:i/>
            <w:iCs/>
            <w:noProof/>
          </w:rPr>
          <w:t>Cantidades reportadas por sector</w:t>
        </w:r>
        <w:r w:rsidRPr="007F4E9F">
          <w:rPr>
            <w:noProof/>
            <w:webHidden/>
          </w:rPr>
          <w:tab/>
        </w:r>
        <w:r w:rsidRPr="007F4E9F">
          <w:rPr>
            <w:noProof/>
            <w:webHidden/>
          </w:rPr>
          <w:fldChar w:fldCharType="begin"/>
        </w:r>
        <w:r w:rsidRPr="007F4E9F">
          <w:rPr>
            <w:noProof/>
            <w:webHidden/>
          </w:rPr>
          <w:instrText xml:space="preserve"> PAGEREF _Toc225848236 \h </w:instrText>
        </w:r>
        <w:r w:rsidRPr="007F4E9F">
          <w:rPr>
            <w:noProof/>
            <w:webHidden/>
          </w:rPr>
        </w:r>
        <w:r w:rsidRPr="007F4E9F">
          <w:rPr>
            <w:noProof/>
            <w:webHidden/>
          </w:rPr>
          <w:fldChar w:fldCharType="separate"/>
        </w:r>
        <w:r w:rsidR="00CB1A80" w:rsidRPr="007F4E9F">
          <w:rPr>
            <w:noProof/>
            <w:webHidden/>
          </w:rPr>
          <w:t>31</w:t>
        </w:r>
        <w:r w:rsidRPr="007F4E9F">
          <w:rPr>
            <w:noProof/>
            <w:webHidden/>
          </w:rPr>
          <w:fldChar w:fldCharType="end"/>
        </w:r>
      </w:hyperlink>
    </w:p>
    <w:p w14:paraId="7D0ADF3D" w14:textId="2D915B3C" w:rsidR="00D445D9" w:rsidRPr="007F4E9F" w:rsidRDefault="00D445D9">
      <w:pPr>
        <w:pStyle w:val="TableofFigures"/>
        <w:tabs>
          <w:tab w:val="right" w:leader="dot" w:pos="8630"/>
        </w:tabs>
        <w:rPr>
          <w:noProof/>
          <w:lang w:eastAsia="es-CO"/>
        </w:rPr>
      </w:pPr>
      <w:hyperlink w:anchor="_Toc225848237" w:history="1">
        <w:r w:rsidRPr="007F4E9F">
          <w:rPr>
            <w:rStyle w:val="Hyperlink"/>
            <w:rFonts w:ascii="Times New Roman" w:hAnsi="Times New Roman"/>
            <w:noProof/>
          </w:rPr>
          <w:t xml:space="preserve">Tabla 11 </w:t>
        </w:r>
        <w:r w:rsidRPr="007F4E9F">
          <w:rPr>
            <w:rStyle w:val="Hyperlink"/>
            <w:rFonts w:ascii="Times New Roman" w:hAnsi="Times New Roman"/>
            <w:i/>
            <w:iCs/>
            <w:noProof/>
          </w:rPr>
          <w:t>Prioridades de las ciudades con enfoque de ciclo de vida</w:t>
        </w:r>
        <w:r w:rsidRPr="007F4E9F">
          <w:rPr>
            <w:noProof/>
            <w:webHidden/>
          </w:rPr>
          <w:tab/>
        </w:r>
        <w:r w:rsidRPr="007F4E9F">
          <w:rPr>
            <w:noProof/>
            <w:webHidden/>
          </w:rPr>
          <w:fldChar w:fldCharType="begin"/>
        </w:r>
        <w:r w:rsidRPr="007F4E9F">
          <w:rPr>
            <w:noProof/>
            <w:webHidden/>
          </w:rPr>
          <w:instrText xml:space="preserve"> PAGEREF _Toc225848237 \h </w:instrText>
        </w:r>
        <w:r w:rsidRPr="007F4E9F">
          <w:rPr>
            <w:noProof/>
            <w:webHidden/>
          </w:rPr>
        </w:r>
        <w:r w:rsidRPr="007F4E9F">
          <w:rPr>
            <w:noProof/>
            <w:webHidden/>
          </w:rPr>
          <w:fldChar w:fldCharType="separate"/>
        </w:r>
        <w:r w:rsidR="00CB1A80" w:rsidRPr="007F4E9F">
          <w:rPr>
            <w:noProof/>
            <w:webHidden/>
          </w:rPr>
          <w:t>39</w:t>
        </w:r>
        <w:r w:rsidRPr="007F4E9F">
          <w:rPr>
            <w:noProof/>
            <w:webHidden/>
          </w:rPr>
          <w:fldChar w:fldCharType="end"/>
        </w:r>
      </w:hyperlink>
    </w:p>
    <w:p w14:paraId="25232232" w14:textId="27C76102" w:rsidR="00D445D9" w:rsidRPr="007F4E9F" w:rsidRDefault="00D445D9">
      <w:pPr>
        <w:pStyle w:val="TableofFigures"/>
        <w:tabs>
          <w:tab w:val="right" w:leader="dot" w:pos="8630"/>
        </w:tabs>
        <w:rPr>
          <w:noProof/>
          <w:lang w:eastAsia="es-CO"/>
        </w:rPr>
      </w:pPr>
      <w:hyperlink w:anchor="_Toc225848238" w:history="1">
        <w:r w:rsidRPr="007F4E9F">
          <w:rPr>
            <w:rStyle w:val="Hyperlink"/>
            <w:rFonts w:ascii="Times New Roman" w:hAnsi="Times New Roman" w:cs="Times New Roman"/>
            <w:noProof/>
          </w:rPr>
          <w:t xml:space="preserve">Tabla 12 </w:t>
        </w:r>
        <w:r w:rsidRPr="007F4E9F">
          <w:rPr>
            <w:rStyle w:val="Hyperlink"/>
            <w:rFonts w:ascii="Times New Roman" w:hAnsi="Times New Roman" w:cs="Times New Roman"/>
            <w:i/>
            <w:iCs/>
            <w:noProof/>
          </w:rPr>
          <w:t>Diagnóstico y fortalecimiento normativo</w:t>
        </w:r>
        <w:r w:rsidRPr="007F4E9F">
          <w:rPr>
            <w:noProof/>
            <w:webHidden/>
          </w:rPr>
          <w:tab/>
        </w:r>
        <w:r w:rsidRPr="007F4E9F">
          <w:rPr>
            <w:noProof/>
            <w:webHidden/>
          </w:rPr>
          <w:fldChar w:fldCharType="begin"/>
        </w:r>
        <w:r w:rsidRPr="007F4E9F">
          <w:rPr>
            <w:noProof/>
            <w:webHidden/>
          </w:rPr>
          <w:instrText xml:space="preserve"> PAGEREF _Toc225848238 \h </w:instrText>
        </w:r>
        <w:r w:rsidRPr="007F4E9F">
          <w:rPr>
            <w:noProof/>
            <w:webHidden/>
          </w:rPr>
        </w:r>
        <w:r w:rsidRPr="007F4E9F">
          <w:rPr>
            <w:noProof/>
            <w:webHidden/>
          </w:rPr>
          <w:fldChar w:fldCharType="separate"/>
        </w:r>
        <w:r w:rsidR="00CB1A80" w:rsidRPr="007F4E9F">
          <w:rPr>
            <w:noProof/>
            <w:webHidden/>
          </w:rPr>
          <w:t>43</w:t>
        </w:r>
        <w:r w:rsidRPr="007F4E9F">
          <w:rPr>
            <w:noProof/>
            <w:webHidden/>
          </w:rPr>
          <w:fldChar w:fldCharType="end"/>
        </w:r>
      </w:hyperlink>
    </w:p>
    <w:p w14:paraId="4FE39588" w14:textId="2B90D312" w:rsidR="00D445D9" w:rsidRPr="007F4E9F" w:rsidRDefault="00D445D9">
      <w:pPr>
        <w:pStyle w:val="TableofFigures"/>
        <w:tabs>
          <w:tab w:val="right" w:leader="dot" w:pos="8630"/>
        </w:tabs>
        <w:rPr>
          <w:noProof/>
          <w:lang w:eastAsia="es-CO"/>
        </w:rPr>
      </w:pPr>
      <w:hyperlink w:anchor="_Toc225848239" w:history="1">
        <w:r w:rsidRPr="007F4E9F">
          <w:rPr>
            <w:rStyle w:val="Hyperlink"/>
            <w:rFonts w:ascii="Times New Roman" w:hAnsi="Times New Roman" w:cs="Times New Roman"/>
            <w:noProof/>
          </w:rPr>
          <w:t xml:space="preserve">Tabla 13 </w:t>
        </w:r>
        <w:r w:rsidRPr="007F4E9F">
          <w:rPr>
            <w:rStyle w:val="Hyperlink"/>
            <w:rFonts w:ascii="Times New Roman" w:hAnsi="Times New Roman" w:cs="Times New Roman"/>
            <w:i/>
            <w:iCs/>
            <w:noProof/>
          </w:rPr>
          <w:t>Matriz de resultados</w:t>
        </w:r>
        <w:r w:rsidRPr="007F4E9F">
          <w:rPr>
            <w:noProof/>
            <w:webHidden/>
          </w:rPr>
          <w:tab/>
        </w:r>
        <w:r w:rsidRPr="007F4E9F">
          <w:rPr>
            <w:noProof/>
            <w:webHidden/>
          </w:rPr>
          <w:fldChar w:fldCharType="begin"/>
        </w:r>
        <w:r w:rsidRPr="007F4E9F">
          <w:rPr>
            <w:noProof/>
            <w:webHidden/>
          </w:rPr>
          <w:instrText xml:space="preserve"> PAGEREF _Toc225848239 \h </w:instrText>
        </w:r>
        <w:r w:rsidRPr="007F4E9F">
          <w:rPr>
            <w:noProof/>
            <w:webHidden/>
          </w:rPr>
        </w:r>
        <w:r w:rsidRPr="007F4E9F">
          <w:rPr>
            <w:noProof/>
            <w:webHidden/>
          </w:rPr>
          <w:fldChar w:fldCharType="separate"/>
        </w:r>
        <w:r w:rsidR="00CB1A80" w:rsidRPr="007F4E9F">
          <w:rPr>
            <w:noProof/>
            <w:webHidden/>
          </w:rPr>
          <w:t>45</w:t>
        </w:r>
        <w:r w:rsidRPr="007F4E9F">
          <w:rPr>
            <w:noProof/>
            <w:webHidden/>
          </w:rPr>
          <w:fldChar w:fldCharType="end"/>
        </w:r>
      </w:hyperlink>
    </w:p>
    <w:p w14:paraId="68EC532D" w14:textId="49E0DA9C" w:rsidR="00D445D9" w:rsidRPr="007F4E9F" w:rsidRDefault="00D445D9">
      <w:pPr>
        <w:pStyle w:val="TableofFigures"/>
        <w:tabs>
          <w:tab w:val="right" w:leader="dot" w:pos="8630"/>
        </w:tabs>
        <w:rPr>
          <w:noProof/>
          <w:lang w:eastAsia="es-CO"/>
        </w:rPr>
      </w:pPr>
      <w:hyperlink w:anchor="_Toc225848240" w:history="1">
        <w:r w:rsidRPr="007F4E9F">
          <w:rPr>
            <w:rStyle w:val="Hyperlink"/>
            <w:rFonts w:ascii="Times New Roman" w:hAnsi="Times New Roman"/>
            <w:noProof/>
          </w:rPr>
          <w:t xml:space="preserve">Tabla 14 </w:t>
        </w:r>
        <w:r w:rsidRPr="007F4E9F">
          <w:rPr>
            <w:rStyle w:val="Hyperlink"/>
            <w:rFonts w:ascii="Times New Roman" w:hAnsi="Times New Roman"/>
            <w:i/>
            <w:iCs/>
            <w:noProof/>
          </w:rPr>
          <w:t>Recomendaciones lanzamiento y sostenibilidad de la plataforma web</w:t>
        </w:r>
        <w:r w:rsidRPr="007F4E9F">
          <w:rPr>
            <w:noProof/>
            <w:webHidden/>
          </w:rPr>
          <w:tab/>
        </w:r>
        <w:r w:rsidRPr="007F4E9F">
          <w:rPr>
            <w:noProof/>
            <w:webHidden/>
          </w:rPr>
          <w:fldChar w:fldCharType="begin"/>
        </w:r>
        <w:r w:rsidRPr="007F4E9F">
          <w:rPr>
            <w:noProof/>
            <w:webHidden/>
          </w:rPr>
          <w:instrText xml:space="preserve"> PAGEREF _Toc225848240 \h </w:instrText>
        </w:r>
        <w:r w:rsidRPr="007F4E9F">
          <w:rPr>
            <w:noProof/>
            <w:webHidden/>
          </w:rPr>
        </w:r>
        <w:r w:rsidRPr="007F4E9F">
          <w:rPr>
            <w:noProof/>
            <w:webHidden/>
          </w:rPr>
          <w:fldChar w:fldCharType="separate"/>
        </w:r>
        <w:r w:rsidR="00CB1A80" w:rsidRPr="007F4E9F">
          <w:rPr>
            <w:noProof/>
            <w:webHidden/>
          </w:rPr>
          <w:t>54</w:t>
        </w:r>
        <w:r w:rsidRPr="007F4E9F">
          <w:rPr>
            <w:noProof/>
            <w:webHidden/>
          </w:rPr>
          <w:fldChar w:fldCharType="end"/>
        </w:r>
      </w:hyperlink>
    </w:p>
    <w:p w14:paraId="462FC046" w14:textId="4D3FDE35" w:rsidR="00D24D17" w:rsidRPr="007F4E9F" w:rsidRDefault="005F34CE" w:rsidP="0032235A">
      <w:pPr>
        <w:jc w:val="both"/>
        <w:rPr>
          <w:rFonts w:ascii="Times New Roman" w:hAnsi="Times New Roman" w:cs="Times New Roman"/>
        </w:rPr>
      </w:pPr>
      <w:r w:rsidRPr="007F4E9F">
        <w:rPr>
          <w:rFonts w:ascii="Times New Roman" w:hAnsi="Times New Roman" w:cs="Times New Roman"/>
        </w:rPr>
        <w:fldChar w:fldCharType="end"/>
      </w:r>
    </w:p>
    <w:p w14:paraId="21390464" w14:textId="77777777" w:rsidR="00D24D17" w:rsidRPr="007F4E9F" w:rsidRDefault="00D24D17" w:rsidP="0032235A">
      <w:pPr>
        <w:jc w:val="both"/>
        <w:rPr>
          <w:rFonts w:ascii="Times New Roman" w:hAnsi="Times New Roman" w:cs="Times New Roman"/>
          <w:b/>
          <w:bCs/>
        </w:rPr>
      </w:pPr>
      <w:r w:rsidRPr="007F4E9F">
        <w:rPr>
          <w:rFonts w:ascii="Times New Roman" w:hAnsi="Times New Roman" w:cs="Times New Roman"/>
          <w:b/>
          <w:bCs/>
        </w:rPr>
        <w:t>Lista de figuras</w:t>
      </w:r>
    </w:p>
    <w:p w14:paraId="0568B076" w14:textId="034E0DA4" w:rsidR="00D445D9" w:rsidRPr="007F4E9F" w:rsidRDefault="00D24D17">
      <w:pPr>
        <w:pStyle w:val="TableofFigures"/>
        <w:tabs>
          <w:tab w:val="right" w:leader="dot" w:pos="8630"/>
        </w:tabs>
        <w:rPr>
          <w:noProof/>
          <w:lang w:eastAsia="es-CO"/>
        </w:rPr>
      </w:pPr>
      <w:r w:rsidRPr="007F4E9F">
        <w:rPr>
          <w:rFonts w:ascii="Times New Roman" w:hAnsi="Times New Roman" w:cs="Times New Roman"/>
        </w:rPr>
        <w:fldChar w:fldCharType="begin"/>
      </w:r>
      <w:r w:rsidRPr="007F4E9F">
        <w:rPr>
          <w:rFonts w:ascii="Times New Roman" w:hAnsi="Times New Roman" w:cs="Times New Roman"/>
        </w:rPr>
        <w:instrText xml:space="preserve"> TOC \h \z \c "Figura" </w:instrText>
      </w:r>
      <w:r w:rsidRPr="007F4E9F">
        <w:rPr>
          <w:rFonts w:ascii="Times New Roman" w:hAnsi="Times New Roman" w:cs="Times New Roman"/>
        </w:rPr>
        <w:fldChar w:fldCharType="separate"/>
      </w:r>
      <w:hyperlink w:anchor="_Toc225848241" w:history="1">
        <w:r w:rsidR="00D445D9" w:rsidRPr="007F4E9F">
          <w:rPr>
            <w:rStyle w:val="Hyperlink"/>
            <w:rFonts w:ascii="Times New Roman" w:hAnsi="Times New Roman" w:cs="Times New Roman"/>
            <w:noProof/>
          </w:rPr>
          <w:t xml:space="preserve">Figura 1 </w:t>
        </w:r>
        <w:r w:rsidR="00D445D9" w:rsidRPr="007F4E9F">
          <w:rPr>
            <w:rStyle w:val="Hyperlink"/>
            <w:rFonts w:ascii="Times New Roman" w:hAnsi="Times New Roman" w:cs="Times New Roman"/>
            <w:i/>
            <w:iCs/>
            <w:noProof/>
          </w:rPr>
          <w:t>Página web plataforma regional de economía circular</w:t>
        </w:r>
        <w:r w:rsidR="00D445D9" w:rsidRPr="007F4E9F">
          <w:rPr>
            <w:noProof/>
            <w:webHidden/>
          </w:rPr>
          <w:tab/>
        </w:r>
        <w:r w:rsidR="00D445D9" w:rsidRPr="007F4E9F">
          <w:rPr>
            <w:noProof/>
            <w:webHidden/>
          </w:rPr>
          <w:fldChar w:fldCharType="begin"/>
        </w:r>
        <w:r w:rsidR="00D445D9" w:rsidRPr="007F4E9F">
          <w:rPr>
            <w:noProof/>
            <w:webHidden/>
          </w:rPr>
          <w:instrText xml:space="preserve"> PAGEREF _Toc225848241 \h </w:instrText>
        </w:r>
        <w:r w:rsidR="00D445D9" w:rsidRPr="007F4E9F">
          <w:rPr>
            <w:noProof/>
            <w:webHidden/>
          </w:rPr>
        </w:r>
        <w:r w:rsidR="00D445D9" w:rsidRPr="007F4E9F">
          <w:rPr>
            <w:noProof/>
            <w:webHidden/>
          </w:rPr>
          <w:fldChar w:fldCharType="separate"/>
        </w:r>
        <w:r w:rsidR="00CB1A80" w:rsidRPr="007F4E9F">
          <w:rPr>
            <w:noProof/>
            <w:webHidden/>
          </w:rPr>
          <w:t>14</w:t>
        </w:r>
        <w:r w:rsidR="00D445D9" w:rsidRPr="007F4E9F">
          <w:rPr>
            <w:noProof/>
            <w:webHidden/>
          </w:rPr>
          <w:fldChar w:fldCharType="end"/>
        </w:r>
      </w:hyperlink>
    </w:p>
    <w:p w14:paraId="1C464250" w14:textId="6B5B26E1" w:rsidR="00D445D9" w:rsidRPr="007F4E9F" w:rsidRDefault="00D445D9">
      <w:pPr>
        <w:pStyle w:val="TableofFigures"/>
        <w:tabs>
          <w:tab w:val="right" w:leader="dot" w:pos="8630"/>
        </w:tabs>
        <w:rPr>
          <w:noProof/>
          <w:lang w:eastAsia="es-CO"/>
        </w:rPr>
      </w:pPr>
      <w:hyperlink w:anchor="_Toc225848242" w:history="1">
        <w:r w:rsidRPr="007F4E9F">
          <w:rPr>
            <w:rStyle w:val="Hyperlink"/>
            <w:rFonts w:ascii="Times New Roman" w:hAnsi="Times New Roman" w:cs="Times New Roman"/>
            <w:noProof/>
          </w:rPr>
          <w:t xml:space="preserve">Figura 2 . </w:t>
        </w:r>
        <w:r w:rsidRPr="007F4E9F">
          <w:rPr>
            <w:rStyle w:val="Hyperlink"/>
            <w:rFonts w:ascii="Times New Roman" w:hAnsi="Times New Roman" w:cs="Times New Roman"/>
            <w:i/>
            <w:iCs/>
            <w:noProof/>
          </w:rPr>
          <w:t>Distribución por ciudad y sector de la muestra recolectada.</w:t>
        </w:r>
        <w:r w:rsidRPr="007F4E9F">
          <w:rPr>
            <w:noProof/>
            <w:webHidden/>
          </w:rPr>
          <w:tab/>
        </w:r>
        <w:r w:rsidRPr="007F4E9F">
          <w:rPr>
            <w:noProof/>
            <w:webHidden/>
          </w:rPr>
          <w:fldChar w:fldCharType="begin"/>
        </w:r>
        <w:r w:rsidRPr="007F4E9F">
          <w:rPr>
            <w:noProof/>
            <w:webHidden/>
          </w:rPr>
          <w:instrText xml:space="preserve"> PAGEREF _Toc225848242 \h </w:instrText>
        </w:r>
        <w:r w:rsidRPr="007F4E9F">
          <w:rPr>
            <w:noProof/>
            <w:webHidden/>
          </w:rPr>
        </w:r>
        <w:r w:rsidRPr="007F4E9F">
          <w:rPr>
            <w:noProof/>
            <w:webHidden/>
          </w:rPr>
          <w:fldChar w:fldCharType="separate"/>
        </w:r>
        <w:r w:rsidR="00CB1A80" w:rsidRPr="007F4E9F">
          <w:rPr>
            <w:noProof/>
            <w:webHidden/>
          </w:rPr>
          <w:t>23</w:t>
        </w:r>
        <w:r w:rsidRPr="007F4E9F">
          <w:rPr>
            <w:noProof/>
            <w:webHidden/>
          </w:rPr>
          <w:fldChar w:fldCharType="end"/>
        </w:r>
      </w:hyperlink>
    </w:p>
    <w:p w14:paraId="4E6AB2D0" w14:textId="564C0A67" w:rsidR="00D445D9" w:rsidRPr="007F4E9F" w:rsidRDefault="00D445D9">
      <w:pPr>
        <w:pStyle w:val="TableofFigures"/>
        <w:tabs>
          <w:tab w:val="right" w:leader="dot" w:pos="8630"/>
        </w:tabs>
        <w:rPr>
          <w:noProof/>
          <w:lang w:eastAsia="es-CO"/>
        </w:rPr>
      </w:pPr>
      <w:hyperlink w:anchor="_Toc225848243" w:history="1">
        <w:r w:rsidRPr="007F4E9F">
          <w:rPr>
            <w:rStyle w:val="Hyperlink"/>
            <w:rFonts w:ascii="Times New Roman" w:hAnsi="Times New Roman" w:cs="Times New Roman"/>
            <w:noProof/>
          </w:rPr>
          <w:t>Figura 3</w:t>
        </w:r>
        <w:r w:rsidRPr="007F4E9F">
          <w:rPr>
            <w:rStyle w:val="Hyperlink"/>
            <w:rFonts w:ascii="Times New Roman" w:hAnsi="Times New Roman" w:cs="Times New Roman"/>
            <w:i/>
            <w:iCs/>
            <w:noProof/>
          </w:rPr>
          <w:t xml:space="preserve"> Distribución por tipo de rol en la plataforma de la muestra recolectada</w:t>
        </w:r>
        <w:r w:rsidRPr="007F4E9F">
          <w:rPr>
            <w:noProof/>
            <w:webHidden/>
          </w:rPr>
          <w:tab/>
        </w:r>
        <w:r w:rsidRPr="007F4E9F">
          <w:rPr>
            <w:noProof/>
            <w:webHidden/>
          </w:rPr>
          <w:fldChar w:fldCharType="begin"/>
        </w:r>
        <w:r w:rsidRPr="007F4E9F">
          <w:rPr>
            <w:noProof/>
            <w:webHidden/>
          </w:rPr>
          <w:instrText xml:space="preserve"> PAGEREF _Toc225848243 \h </w:instrText>
        </w:r>
        <w:r w:rsidRPr="007F4E9F">
          <w:rPr>
            <w:noProof/>
            <w:webHidden/>
          </w:rPr>
        </w:r>
        <w:r w:rsidRPr="007F4E9F">
          <w:rPr>
            <w:noProof/>
            <w:webHidden/>
          </w:rPr>
          <w:fldChar w:fldCharType="separate"/>
        </w:r>
        <w:r w:rsidR="00CB1A80" w:rsidRPr="007F4E9F">
          <w:rPr>
            <w:noProof/>
            <w:webHidden/>
          </w:rPr>
          <w:t>24</w:t>
        </w:r>
        <w:r w:rsidRPr="007F4E9F">
          <w:rPr>
            <w:noProof/>
            <w:webHidden/>
          </w:rPr>
          <w:fldChar w:fldCharType="end"/>
        </w:r>
      </w:hyperlink>
    </w:p>
    <w:p w14:paraId="6E5AB581" w14:textId="03CD2332" w:rsidR="00D445D9" w:rsidRPr="007F4E9F" w:rsidRDefault="00D445D9">
      <w:pPr>
        <w:pStyle w:val="TableofFigures"/>
        <w:tabs>
          <w:tab w:val="right" w:leader="dot" w:pos="8630"/>
        </w:tabs>
        <w:rPr>
          <w:noProof/>
          <w:lang w:eastAsia="es-CO"/>
        </w:rPr>
      </w:pPr>
      <w:hyperlink w:anchor="_Toc225848244" w:history="1">
        <w:r w:rsidRPr="007F4E9F">
          <w:rPr>
            <w:rStyle w:val="Hyperlink"/>
            <w:rFonts w:ascii="Times New Roman" w:hAnsi="Times New Roman"/>
            <w:noProof/>
          </w:rPr>
          <w:t xml:space="preserve">Figura 4 </w:t>
        </w:r>
        <w:r w:rsidRPr="007F4E9F">
          <w:rPr>
            <w:rStyle w:val="Hyperlink"/>
            <w:rFonts w:ascii="Times New Roman" w:hAnsi="Times New Roman"/>
            <w:i/>
            <w:iCs/>
            <w:noProof/>
          </w:rPr>
          <w:t>Percepción de los beneficiarios frente a la Pertinencia</w:t>
        </w:r>
        <w:r w:rsidRPr="007F4E9F">
          <w:rPr>
            <w:noProof/>
            <w:webHidden/>
          </w:rPr>
          <w:tab/>
        </w:r>
        <w:r w:rsidRPr="007F4E9F">
          <w:rPr>
            <w:noProof/>
            <w:webHidden/>
          </w:rPr>
          <w:fldChar w:fldCharType="begin"/>
        </w:r>
        <w:r w:rsidRPr="007F4E9F">
          <w:rPr>
            <w:noProof/>
            <w:webHidden/>
          </w:rPr>
          <w:instrText xml:space="preserve"> PAGEREF _Toc225848244 \h </w:instrText>
        </w:r>
        <w:r w:rsidRPr="007F4E9F">
          <w:rPr>
            <w:noProof/>
            <w:webHidden/>
          </w:rPr>
        </w:r>
        <w:r w:rsidRPr="007F4E9F">
          <w:rPr>
            <w:noProof/>
            <w:webHidden/>
          </w:rPr>
          <w:fldChar w:fldCharType="separate"/>
        </w:r>
        <w:r w:rsidR="00CB1A80" w:rsidRPr="007F4E9F">
          <w:rPr>
            <w:noProof/>
            <w:webHidden/>
          </w:rPr>
          <w:t>25</w:t>
        </w:r>
        <w:r w:rsidRPr="007F4E9F">
          <w:rPr>
            <w:noProof/>
            <w:webHidden/>
          </w:rPr>
          <w:fldChar w:fldCharType="end"/>
        </w:r>
      </w:hyperlink>
    </w:p>
    <w:p w14:paraId="04DAF1E7" w14:textId="28F21997" w:rsidR="00564551" w:rsidRPr="007F4E9F" w:rsidRDefault="00D24D17" w:rsidP="00603E3B">
      <w:pPr>
        <w:ind w:left="720" w:hanging="720"/>
        <w:jc w:val="both"/>
        <w:rPr>
          <w:rFonts w:ascii="Times New Roman" w:hAnsi="Times New Roman" w:cs="Times New Roman"/>
        </w:rPr>
      </w:pPr>
      <w:r w:rsidRPr="007F4E9F">
        <w:rPr>
          <w:rFonts w:ascii="Times New Roman" w:hAnsi="Times New Roman" w:cs="Times New Roman"/>
        </w:rPr>
        <w:fldChar w:fldCharType="end"/>
      </w:r>
    </w:p>
    <w:p w14:paraId="5109246F" w14:textId="77777777" w:rsidR="007B0BFE" w:rsidRPr="007F4E9F" w:rsidRDefault="007B0BFE" w:rsidP="007B0BFE">
      <w:pPr>
        <w:rPr>
          <w:rFonts w:ascii="Times New Roman" w:hAnsi="Times New Roman" w:cs="Times New Roman"/>
          <w:b/>
          <w:bCs/>
          <w:lang w:val="en-US"/>
        </w:rPr>
      </w:pPr>
      <w:r w:rsidRPr="007F4E9F">
        <w:rPr>
          <w:rFonts w:ascii="Times New Roman" w:hAnsi="Times New Roman" w:cs="Times New Roman"/>
          <w:b/>
          <w:bCs/>
          <w:lang w:val="en-US"/>
        </w:rPr>
        <w:t xml:space="preserve">Lista de siglas </w:t>
      </w:r>
    </w:p>
    <w:p w14:paraId="66C7A0F2" w14:textId="77777777" w:rsidR="007B0BFE" w:rsidRPr="007F4E9F" w:rsidRDefault="007B0BFE" w:rsidP="007B0BFE">
      <w:pPr>
        <w:spacing w:line="240" w:lineRule="auto"/>
        <w:rPr>
          <w:rFonts w:ascii="Times New Roman" w:hAnsi="Times New Roman" w:cs="Times New Roman"/>
          <w:lang w:val="en-US"/>
        </w:rPr>
      </w:pPr>
      <w:r w:rsidRPr="007F4E9F">
        <w:rPr>
          <w:rFonts w:ascii="Times New Roman" w:hAnsi="Times New Roman" w:cs="Times New Roman"/>
          <w:lang w:val="en-US"/>
        </w:rPr>
        <w:t>B2B: Business to Business</w:t>
      </w:r>
    </w:p>
    <w:p w14:paraId="13764FF7"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BCE: Banco Central del Ecuador</w:t>
      </w:r>
    </w:p>
    <w:p w14:paraId="414F5AAA" w14:textId="373D237C" w:rsidR="007B0BFE" w:rsidRPr="007F4E9F" w:rsidRDefault="007B0BFE" w:rsidP="007B0BFE">
      <w:pPr>
        <w:spacing w:line="240" w:lineRule="auto"/>
        <w:rPr>
          <w:rFonts w:ascii="Times New Roman" w:hAnsi="Times New Roman" w:cs="Times New Roman"/>
        </w:rPr>
      </w:pPr>
      <w:bookmarkStart w:id="0" w:name="_Hlk225833572"/>
      <w:r w:rsidRPr="007F4E9F">
        <w:rPr>
          <w:rFonts w:ascii="Times New Roman" w:hAnsi="Times New Roman" w:cs="Times New Roman"/>
        </w:rPr>
        <w:t>BID: Banco Interamericano de Desarrollo</w:t>
      </w:r>
    </w:p>
    <w:p w14:paraId="3F8711A8" w14:textId="2F6C9F65" w:rsidR="000A3157" w:rsidRPr="007F4E9F" w:rsidRDefault="000A3157" w:rsidP="007B0BFE">
      <w:pPr>
        <w:spacing w:line="240" w:lineRule="auto"/>
        <w:rPr>
          <w:rFonts w:ascii="Times New Roman" w:hAnsi="Times New Roman" w:cs="Times New Roman"/>
        </w:rPr>
      </w:pPr>
      <w:r w:rsidRPr="007F4E9F">
        <w:rPr>
          <w:rFonts w:ascii="Times New Roman" w:hAnsi="Times New Roman" w:cs="Times New Roman"/>
        </w:rPr>
        <w:t>BORSI: Bolsa de residuos industriales</w:t>
      </w:r>
    </w:p>
    <w:bookmarkEnd w:id="0"/>
    <w:p w14:paraId="3CE6675C" w14:textId="630334A0"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CCB: Cámara de Comercio de Bogotá</w:t>
      </w:r>
    </w:p>
    <w:p w14:paraId="6E1809D6" w14:textId="11926872" w:rsidR="007B0BFE" w:rsidRPr="007F4E9F" w:rsidRDefault="007B0BFE" w:rsidP="007B0BFE">
      <w:pPr>
        <w:spacing w:line="240" w:lineRule="auto"/>
        <w:rPr>
          <w:rFonts w:ascii="Times New Roman" w:hAnsi="Times New Roman" w:cs="Times New Roman"/>
          <w:color w:val="0A0A0A"/>
          <w:shd w:val="clear" w:color="auto" w:fill="FFFFFF"/>
        </w:rPr>
      </w:pPr>
      <w:r w:rsidRPr="007F4E9F">
        <w:rPr>
          <w:rFonts w:ascii="Times New Roman" w:hAnsi="Times New Roman" w:cs="Times New Roman"/>
        </w:rPr>
        <w:t xml:space="preserve">CORFO: </w:t>
      </w:r>
      <w:r w:rsidRPr="007F4E9F">
        <w:rPr>
          <w:rFonts w:ascii="Times New Roman" w:hAnsi="Times New Roman" w:cs="Times New Roman"/>
          <w:color w:val="0A0A0A"/>
          <w:shd w:val="clear" w:color="auto" w:fill="FFFFFF"/>
        </w:rPr>
        <w:t>Corporación de Fomento de la Producción</w:t>
      </w:r>
    </w:p>
    <w:p w14:paraId="38BDA5CC" w14:textId="0414B654"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color w:val="0A0A0A"/>
          <w:shd w:val="clear" w:color="auto" w:fill="FFFFFF"/>
        </w:rPr>
        <w:t>CT: Cooperación técnica</w:t>
      </w:r>
    </w:p>
    <w:p w14:paraId="2B3E59A5"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DANE: Departamento Administrativo Nacional de Estadística</w:t>
      </w:r>
    </w:p>
    <w:p w14:paraId="1201CF02"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EC: Economía circular</w:t>
      </w:r>
    </w:p>
    <w:p w14:paraId="6A6F3ED0"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ICEC9R: Índice de compromiso con la economía circular (9R)</w:t>
      </w:r>
    </w:p>
    <w:p w14:paraId="48C9AF84"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ICEN: Índice de cierre efectivo de negocio</w:t>
      </w:r>
    </w:p>
    <w:p w14:paraId="7C5F41C0"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ICODS: Índice de contribución a los ODS</w:t>
      </w:r>
    </w:p>
    <w:p w14:paraId="6D6A6B0B"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ICR: Índice de circularidad de recursos</w:t>
      </w:r>
    </w:p>
    <w:p w14:paraId="26996E6C"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IDI: Índice de desarrollo de iniciativas circulares</w:t>
      </w:r>
    </w:p>
    <w:p w14:paraId="672DEE96"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INE: Instituto Nacional de Estadística</w:t>
      </w:r>
    </w:p>
    <w:p w14:paraId="6826EA06"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INEC: Instituto Nacional de Estadística y Censos</w:t>
      </w:r>
    </w:p>
    <w:p w14:paraId="37ECD9D9"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INEI: Instituto Nacional de Estadística e Informática</w:t>
      </w:r>
    </w:p>
    <w:p w14:paraId="146E225E"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INU: Índice de naturaleza de usuarios</w:t>
      </w:r>
    </w:p>
    <w:p w14:paraId="60291D07"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MADS: Ministerio de Ambiente y Desarrollo Sostenible</w:t>
      </w:r>
    </w:p>
    <w:p w14:paraId="244B8E2E"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MEF: Ministerio de Economía y Finanzas</w:t>
      </w:r>
    </w:p>
    <w:p w14:paraId="019A3F20" w14:textId="77777777" w:rsidR="007B0BFE" w:rsidRPr="007F4E9F" w:rsidRDefault="007B0BFE" w:rsidP="007B0BFE">
      <w:pPr>
        <w:spacing w:line="240" w:lineRule="auto"/>
        <w:rPr>
          <w:rFonts w:ascii="Times New Roman" w:hAnsi="Times New Roman" w:cs="Times New Roman"/>
        </w:rPr>
      </w:pPr>
      <w:commentRangeStart w:id="1"/>
      <w:r w:rsidRPr="007F4E9F">
        <w:rPr>
          <w:rFonts w:ascii="Times New Roman" w:hAnsi="Times New Roman" w:cs="Times New Roman"/>
        </w:rPr>
        <w:t>MINAM</w:t>
      </w:r>
      <w:commentRangeEnd w:id="1"/>
      <w:r w:rsidR="006734EB" w:rsidRPr="007F4E9F">
        <w:rPr>
          <w:rStyle w:val="CommentReference"/>
          <w:rFonts w:ascii="Times New Roman" w:hAnsi="Times New Roman" w:cs="Times New Roman"/>
          <w:sz w:val="22"/>
          <w:szCs w:val="22"/>
        </w:rPr>
        <w:commentReference w:id="1"/>
      </w:r>
      <w:r w:rsidRPr="007F4E9F">
        <w:rPr>
          <w:rFonts w:ascii="Times New Roman" w:hAnsi="Times New Roman" w:cs="Times New Roman"/>
        </w:rPr>
        <w:t>: Ministerio de Medio Ambiente de Perú</w:t>
      </w:r>
    </w:p>
    <w:p w14:paraId="15745BE2"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ODEB: Observatorio de Desarrollo Económico</w:t>
      </w:r>
    </w:p>
    <w:p w14:paraId="2BF5BBDB"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ODS: Objetivos de Desarrollo Sostenible</w:t>
      </w:r>
    </w:p>
    <w:p w14:paraId="0D347BDE"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PRODUCE: Ministerio de la Producción</w:t>
      </w:r>
    </w:p>
    <w:p w14:paraId="3180B16E"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RNEC: Ruta Nacional de la Economía Circular</w:t>
      </w:r>
    </w:p>
    <w:p w14:paraId="31238684"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 xml:space="preserve">SDDE: Secretaría de Desarrollo </w:t>
      </w:r>
      <w:commentRangeStart w:id="2"/>
      <w:r w:rsidRPr="007F4E9F">
        <w:rPr>
          <w:rFonts w:ascii="Times New Roman" w:hAnsi="Times New Roman" w:cs="Times New Roman"/>
        </w:rPr>
        <w:t>Económico</w:t>
      </w:r>
      <w:commentRangeEnd w:id="2"/>
      <w:r w:rsidR="006734EB" w:rsidRPr="007F4E9F">
        <w:rPr>
          <w:rStyle w:val="CommentReference"/>
          <w:rFonts w:ascii="Times New Roman" w:hAnsi="Times New Roman" w:cs="Times New Roman"/>
          <w:sz w:val="22"/>
          <w:szCs w:val="22"/>
        </w:rPr>
        <w:commentReference w:id="2"/>
      </w:r>
    </w:p>
    <w:p w14:paraId="3AEC44F7"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SOFOFA: Sociedad de Fomento Fabril</w:t>
      </w:r>
    </w:p>
    <w:p w14:paraId="151E931C"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UAESP: Unidad Administrativa Especial de Servicios Públicos</w:t>
      </w:r>
    </w:p>
    <w:p w14:paraId="50FE4D06" w14:textId="77777777" w:rsidR="007B0BFE" w:rsidRPr="007F4E9F" w:rsidRDefault="007B0BFE" w:rsidP="007B0BFE">
      <w:pPr>
        <w:spacing w:line="240" w:lineRule="auto"/>
        <w:rPr>
          <w:rFonts w:ascii="Times New Roman" w:hAnsi="Times New Roman" w:cs="Times New Roman"/>
        </w:rPr>
      </w:pPr>
      <w:r w:rsidRPr="007F4E9F">
        <w:rPr>
          <w:rFonts w:ascii="Times New Roman" w:hAnsi="Times New Roman" w:cs="Times New Roman"/>
        </w:rPr>
        <w:t>VAB: Valor Agregado Bruto</w:t>
      </w:r>
    </w:p>
    <w:p w14:paraId="2747C3B6" w14:textId="07814259" w:rsidR="005F34CE" w:rsidRPr="007F4E9F" w:rsidRDefault="005F34CE" w:rsidP="0032235A">
      <w:pPr>
        <w:jc w:val="both"/>
        <w:rPr>
          <w:rFonts w:ascii="Times New Roman" w:hAnsi="Times New Roman" w:cs="Times New Roman"/>
        </w:rPr>
      </w:pPr>
      <w:commentRangeStart w:id="3"/>
      <w:r w:rsidRPr="007F4E9F">
        <w:rPr>
          <w:rFonts w:ascii="Times New Roman" w:hAnsi="Times New Roman" w:cs="Times New Roman"/>
        </w:rPr>
        <w:br w:type="page"/>
      </w:r>
      <w:commentRangeEnd w:id="3"/>
      <w:r w:rsidR="006734EB" w:rsidRPr="007F4E9F">
        <w:rPr>
          <w:rStyle w:val="CommentReference"/>
          <w:rFonts w:ascii="Times New Roman" w:hAnsi="Times New Roman" w:cs="Times New Roman"/>
          <w:sz w:val="22"/>
          <w:szCs w:val="22"/>
        </w:rPr>
        <w:commentReference w:id="3"/>
      </w:r>
    </w:p>
    <w:p w14:paraId="12780FA2" w14:textId="569D2820" w:rsidR="003270AC" w:rsidRPr="007F4E9F" w:rsidRDefault="00DA407B" w:rsidP="0032235A">
      <w:pPr>
        <w:pStyle w:val="Heading1"/>
        <w:jc w:val="both"/>
        <w:rPr>
          <w:rFonts w:ascii="Times New Roman" w:hAnsi="Times New Roman"/>
          <w:sz w:val="22"/>
        </w:rPr>
      </w:pPr>
      <w:bookmarkStart w:id="4" w:name="_Toc226750177"/>
      <w:r w:rsidRPr="007F4E9F">
        <w:rPr>
          <w:rFonts w:ascii="Times New Roman" w:hAnsi="Times New Roman"/>
          <w:sz w:val="22"/>
        </w:rPr>
        <w:t>Resumen ejecutivo</w:t>
      </w:r>
      <w:bookmarkEnd w:id="4"/>
    </w:p>
    <w:p w14:paraId="3C058700" w14:textId="1137D60F" w:rsidR="005178AD" w:rsidRPr="007F4E9F" w:rsidRDefault="005178AD" w:rsidP="0032235A">
      <w:pPr>
        <w:jc w:val="both"/>
        <w:rPr>
          <w:rFonts w:ascii="Times New Roman" w:hAnsi="Times New Roman" w:cs="Times New Roman"/>
        </w:rPr>
      </w:pPr>
      <w:r w:rsidRPr="007F4E9F">
        <w:rPr>
          <w:rFonts w:ascii="Times New Roman" w:hAnsi="Times New Roman" w:cs="Times New Roman"/>
        </w:rPr>
        <w:t xml:space="preserve">El informe </w:t>
      </w:r>
      <w:r w:rsidR="0098397E" w:rsidRPr="007F4E9F">
        <w:rPr>
          <w:rFonts w:ascii="Times New Roman" w:hAnsi="Times New Roman" w:cs="Times New Roman"/>
        </w:rPr>
        <w:t>final</w:t>
      </w:r>
      <w:r w:rsidRPr="007F4E9F">
        <w:rPr>
          <w:rFonts w:ascii="Times New Roman" w:hAnsi="Times New Roman" w:cs="Times New Roman"/>
        </w:rPr>
        <w:t xml:space="preserve"> presenta los resultados de la evaluación del proyecto “Plataforma Colaborativa Regional para el Fortalecimiento de la Economía Circular”, implementado en el marco de la Cooperación Técnica Regional No Reembolsable ATN/OC-19080-RG financiada por el Banco Interamericano de Desarrollo (BID). La iniciativa </w:t>
      </w:r>
      <w:r w:rsidR="000C4184" w:rsidRPr="007F4E9F">
        <w:rPr>
          <w:rFonts w:ascii="Times New Roman" w:hAnsi="Times New Roman" w:cs="Times New Roman"/>
        </w:rPr>
        <w:t>fue</w:t>
      </w:r>
      <w:r w:rsidRPr="007F4E9F">
        <w:rPr>
          <w:rFonts w:ascii="Times New Roman" w:hAnsi="Times New Roman" w:cs="Times New Roman"/>
        </w:rPr>
        <w:t xml:space="preserve"> liderada por la Secretaría Distrital de Ambiente de Bogotá (SDA) y se implementó entre 2022 y 2025 en Bogotá (Colombia), Quito (Ecuador)</w:t>
      </w:r>
      <w:r w:rsidR="000C4184" w:rsidRPr="007F4E9F">
        <w:rPr>
          <w:rFonts w:ascii="Times New Roman" w:hAnsi="Times New Roman" w:cs="Times New Roman"/>
        </w:rPr>
        <w:t xml:space="preserve">, </w:t>
      </w:r>
      <w:r w:rsidRPr="007F4E9F">
        <w:rPr>
          <w:rFonts w:ascii="Times New Roman" w:hAnsi="Times New Roman" w:cs="Times New Roman"/>
        </w:rPr>
        <w:t>Santiago de Chile (Chile)</w:t>
      </w:r>
      <w:r w:rsidR="000C4184" w:rsidRPr="007F4E9F">
        <w:rPr>
          <w:rFonts w:ascii="Times New Roman" w:hAnsi="Times New Roman" w:cs="Times New Roman"/>
        </w:rPr>
        <w:t xml:space="preserve"> y Lima (Perú)</w:t>
      </w:r>
      <w:r w:rsidRPr="007F4E9F">
        <w:rPr>
          <w:rFonts w:ascii="Times New Roman" w:hAnsi="Times New Roman" w:cs="Times New Roman"/>
        </w:rPr>
        <w:t xml:space="preserve">, con el propósito de promover la transición hacia modelos de economía circular mediante la creación de bienes públicos regionales y la articulación de actores públicos y privados. </w:t>
      </w:r>
    </w:p>
    <w:p w14:paraId="3B18D87A" w14:textId="34995F9D" w:rsidR="005178AD" w:rsidRPr="007F4E9F" w:rsidRDefault="005178AD" w:rsidP="0032235A">
      <w:pPr>
        <w:jc w:val="both"/>
        <w:rPr>
          <w:rFonts w:ascii="Times New Roman" w:hAnsi="Times New Roman" w:cs="Times New Roman"/>
        </w:rPr>
      </w:pPr>
      <w:r w:rsidRPr="007F4E9F">
        <w:rPr>
          <w:rFonts w:ascii="Times New Roman" w:hAnsi="Times New Roman" w:cs="Times New Roman"/>
        </w:rPr>
        <w:t xml:space="preserve">La evaluación se concentra en los Componentes 1 y 2 del </w:t>
      </w:r>
      <w:commentRangeStart w:id="5"/>
      <w:r w:rsidR="007B0BFE" w:rsidRPr="007F4E9F">
        <w:rPr>
          <w:rFonts w:ascii="Times New Roman" w:hAnsi="Times New Roman" w:cs="Times New Roman"/>
        </w:rPr>
        <w:t xml:space="preserve">convenio </w:t>
      </w:r>
      <w:r w:rsidRPr="007F4E9F">
        <w:rPr>
          <w:rFonts w:ascii="Times New Roman" w:hAnsi="Times New Roman" w:cs="Times New Roman"/>
        </w:rPr>
        <w:t xml:space="preserve">El primer </w:t>
      </w:r>
      <w:commentRangeEnd w:id="5"/>
      <w:r w:rsidR="00FC1E96" w:rsidRPr="007F4E9F">
        <w:rPr>
          <w:rStyle w:val="CommentReference"/>
          <w:rFonts w:ascii="Times New Roman" w:hAnsi="Times New Roman" w:cs="Times New Roman"/>
          <w:sz w:val="22"/>
          <w:szCs w:val="22"/>
        </w:rPr>
        <w:commentReference w:id="5"/>
      </w:r>
      <w:r w:rsidRPr="007F4E9F">
        <w:rPr>
          <w:rFonts w:ascii="Times New Roman" w:hAnsi="Times New Roman" w:cs="Times New Roman"/>
        </w:rPr>
        <w:t>componente del convenio corresponde al diseño e implementación de una plataforma digital regional tipo Marketplace orientada a facilitar el intercambio de residuos, subproductos y materiales reutilizables entre empresas. El segundo componente busca fortalecer el marco regulatorio y estratégico de la economía circular en las ciudades participantes mediante análisis normativos comparados, propuestas de gobernanza multinivel y procesos de validación participativa con actores institucionales y empresariales.</w:t>
      </w:r>
    </w:p>
    <w:p w14:paraId="7959B4B8" w14:textId="41BC1101" w:rsidR="005178AD" w:rsidRPr="007F4E9F" w:rsidRDefault="005178AD" w:rsidP="0032235A">
      <w:pPr>
        <w:jc w:val="both"/>
        <w:rPr>
          <w:rFonts w:ascii="Times New Roman" w:hAnsi="Times New Roman" w:cs="Times New Roman"/>
        </w:rPr>
      </w:pPr>
      <w:r w:rsidRPr="007F4E9F">
        <w:rPr>
          <w:rFonts w:ascii="Times New Roman" w:hAnsi="Times New Roman" w:cs="Times New Roman"/>
        </w:rPr>
        <w:t xml:space="preserve">El análisis se fundamenta en los criterios de evaluación del Comité de Ayuda al Desarrollo (CAD) de la OCDE, </w:t>
      </w:r>
      <w:commentRangeStart w:id="6"/>
      <w:r w:rsidRPr="007F4E9F">
        <w:rPr>
          <w:rFonts w:ascii="Times New Roman" w:hAnsi="Times New Roman" w:cs="Times New Roman"/>
        </w:rPr>
        <w:t xml:space="preserve">aplicando en esta fase los criterios de pertinencia, coherencia, cumplimiento y sostenibilidad. </w:t>
      </w:r>
      <w:commentRangeEnd w:id="6"/>
      <w:r w:rsidR="00FC1E96" w:rsidRPr="007F4E9F">
        <w:rPr>
          <w:rStyle w:val="CommentReference"/>
          <w:rFonts w:ascii="Times New Roman" w:hAnsi="Times New Roman" w:cs="Times New Roman"/>
          <w:sz w:val="22"/>
          <w:szCs w:val="22"/>
        </w:rPr>
        <w:commentReference w:id="6"/>
      </w:r>
      <w:r w:rsidRPr="007F4E9F">
        <w:rPr>
          <w:rFonts w:ascii="Times New Roman" w:hAnsi="Times New Roman" w:cs="Times New Roman"/>
        </w:rPr>
        <w:t>La metodología combina revisión documental con instrumentos de recolección de información aplicados a diferentes actores del proyecto, incluyendo el organismo ejecutor, el comité directivo, empresas consultoras, usuarios de la plataforma y expertos regionales en economía circular.</w:t>
      </w:r>
    </w:p>
    <w:p w14:paraId="0176FA59" w14:textId="44DD809C" w:rsidR="005178AD" w:rsidRPr="007F4E9F" w:rsidRDefault="005178AD" w:rsidP="000A3157">
      <w:pPr>
        <w:jc w:val="both"/>
        <w:rPr>
          <w:rFonts w:ascii="Times New Roman" w:hAnsi="Times New Roman" w:cs="Times New Roman"/>
        </w:rPr>
      </w:pPr>
      <w:commentRangeStart w:id="7"/>
      <w:r w:rsidRPr="007F4E9F">
        <w:rPr>
          <w:rFonts w:ascii="Times New Roman" w:hAnsi="Times New Roman" w:cs="Times New Roman"/>
        </w:rPr>
        <w:t xml:space="preserve">Los resultados preliminares </w:t>
      </w:r>
      <w:r w:rsidR="007B0BFE" w:rsidRPr="007F4E9F">
        <w:rPr>
          <w:rFonts w:ascii="Times New Roman" w:hAnsi="Times New Roman" w:cs="Times New Roman"/>
        </w:rPr>
        <w:t xml:space="preserve">sugieren </w:t>
      </w:r>
      <w:commentRangeEnd w:id="7"/>
      <w:r w:rsidR="00FC1E96" w:rsidRPr="007F4E9F">
        <w:rPr>
          <w:rStyle w:val="CommentReference"/>
          <w:rFonts w:ascii="Times New Roman" w:hAnsi="Times New Roman" w:cs="Times New Roman"/>
          <w:sz w:val="22"/>
          <w:szCs w:val="22"/>
        </w:rPr>
        <w:commentReference w:id="7"/>
      </w:r>
      <w:r w:rsidR="007B0BFE" w:rsidRPr="007F4E9F">
        <w:rPr>
          <w:rFonts w:ascii="Times New Roman" w:hAnsi="Times New Roman" w:cs="Times New Roman"/>
        </w:rPr>
        <w:t xml:space="preserve">la </w:t>
      </w:r>
      <w:r w:rsidRPr="007F4E9F">
        <w:rPr>
          <w:rFonts w:ascii="Times New Roman" w:hAnsi="Times New Roman" w:cs="Times New Roman"/>
          <w:b/>
          <w:bCs/>
        </w:rPr>
        <w:t xml:space="preserve">pertinencia </w:t>
      </w:r>
      <w:r w:rsidRPr="007F4E9F">
        <w:rPr>
          <w:rFonts w:ascii="Times New Roman" w:hAnsi="Times New Roman" w:cs="Times New Roman"/>
        </w:rPr>
        <w:t>del proyecto frente a las prioridades regionales de sostenibilidad. La priorización sectorial realizada para el Marketplace se concentra en sectores intensivos en materiales como textil, construcción, plásticos y alimentos, los cuales presentan alto potencial para la valorización de residuos y el cierre de ciclos de materiales en las ciudades participantes. Asimismo, el análisis regulatorio del componente 2 confirma avances significativos en la incorporación de principios de economía circular en los marcos normativos y políticas públicas urbanas.</w:t>
      </w:r>
    </w:p>
    <w:p w14:paraId="01C955E7" w14:textId="77777777" w:rsidR="005178AD" w:rsidRPr="007F4E9F" w:rsidRDefault="005178AD" w:rsidP="0032235A">
      <w:pPr>
        <w:jc w:val="both"/>
        <w:rPr>
          <w:rFonts w:ascii="Times New Roman" w:hAnsi="Times New Roman" w:cs="Times New Roman"/>
        </w:rPr>
      </w:pPr>
      <w:r w:rsidRPr="007F4E9F">
        <w:rPr>
          <w:rFonts w:ascii="Times New Roman" w:hAnsi="Times New Roman" w:cs="Times New Roman"/>
        </w:rPr>
        <w:t xml:space="preserve">En términos de </w:t>
      </w:r>
      <w:r w:rsidRPr="007F4E9F">
        <w:rPr>
          <w:rFonts w:ascii="Times New Roman" w:hAnsi="Times New Roman" w:cs="Times New Roman"/>
          <w:b/>
          <w:bCs/>
        </w:rPr>
        <w:t>coherencia</w:t>
      </w:r>
      <w:r w:rsidRPr="007F4E9F">
        <w:rPr>
          <w:rFonts w:ascii="Times New Roman" w:hAnsi="Times New Roman" w:cs="Times New Roman"/>
        </w:rPr>
        <w:t>, se observa una alineación adecuada entre los objetivos del proyecto, las actividades desarrolladas y los productos entregados. La secuencia de diagnóstico sectorial, identificación de empresas, desarrollo de la plataforma y construcción de indicadores responde a una lógica consistente con los objetivos del proyecto y con la creación de un bien público regional orientado a fortalecer los mercados circulares.</w:t>
      </w:r>
    </w:p>
    <w:p w14:paraId="52B1745B" w14:textId="42D5090F" w:rsidR="005178AD" w:rsidRPr="007F4E9F" w:rsidRDefault="005178AD" w:rsidP="0032235A">
      <w:pPr>
        <w:jc w:val="both"/>
        <w:rPr>
          <w:rFonts w:ascii="Times New Roman" w:hAnsi="Times New Roman" w:cs="Times New Roman"/>
        </w:rPr>
      </w:pPr>
      <w:r w:rsidRPr="007F4E9F">
        <w:rPr>
          <w:rFonts w:ascii="Times New Roman" w:hAnsi="Times New Roman" w:cs="Times New Roman"/>
        </w:rPr>
        <w:t xml:space="preserve">Respecto al </w:t>
      </w:r>
      <w:r w:rsidRPr="007F4E9F">
        <w:rPr>
          <w:rFonts w:ascii="Times New Roman" w:hAnsi="Times New Roman" w:cs="Times New Roman"/>
          <w:b/>
          <w:bCs/>
        </w:rPr>
        <w:t>cumplimiento</w:t>
      </w:r>
      <w:r w:rsidRPr="007F4E9F">
        <w:rPr>
          <w:rFonts w:ascii="Times New Roman" w:hAnsi="Times New Roman" w:cs="Times New Roman"/>
        </w:rPr>
        <w:t>, se verificó el desarrollo y puesta en operación de la plataforma regional de economía circular, así como la entrega de los productos técnicos asociados a su diseño, arquitectura, indicadores y manuales de uso. No obstante, el análisis de uso de la plataforma revela limitaciones en la interacción entre empresas y en la generación de intercambios efectivos de materiales, asociadas principalmente a barreras de usabilidad, comunicación entre usuarios y visibilidad de las oportunidades de negocio dentro del sistema.</w:t>
      </w:r>
    </w:p>
    <w:p w14:paraId="7CC9AD1C" w14:textId="77777777" w:rsidR="005178AD" w:rsidRPr="007F4E9F" w:rsidRDefault="005178AD" w:rsidP="0032235A">
      <w:pPr>
        <w:jc w:val="both"/>
        <w:rPr>
          <w:rFonts w:ascii="Times New Roman" w:hAnsi="Times New Roman" w:cs="Times New Roman"/>
        </w:rPr>
      </w:pPr>
      <w:r w:rsidRPr="007F4E9F">
        <w:rPr>
          <w:rFonts w:ascii="Times New Roman" w:hAnsi="Times New Roman" w:cs="Times New Roman"/>
        </w:rPr>
        <w:t xml:space="preserve">En cuanto a la </w:t>
      </w:r>
      <w:r w:rsidRPr="007F4E9F">
        <w:rPr>
          <w:rFonts w:ascii="Times New Roman" w:hAnsi="Times New Roman" w:cs="Times New Roman"/>
          <w:b/>
          <w:bCs/>
        </w:rPr>
        <w:t>sostenibilidad</w:t>
      </w:r>
      <w:r w:rsidRPr="007F4E9F">
        <w:rPr>
          <w:rFonts w:ascii="Times New Roman" w:hAnsi="Times New Roman" w:cs="Times New Roman"/>
        </w:rPr>
        <w:t>, se identifican condiciones institucionales favorables para la continuidad del proyecto, particularmente el compromiso del organismo ejecutor y la existencia de una propuesta de gobernanza multinivel para la gestión de la plataforma. Sin embargo, persisten riesgos asociados a la disponibilidad de recursos técnicos y financieros para su mantenimiento, así como a la limitada participación de las demás ciudades en la operación futura del Marketplace.</w:t>
      </w:r>
    </w:p>
    <w:p w14:paraId="6002F425" w14:textId="77777777" w:rsidR="005178AD" w:rsidRPr="007F4E9F" w:rsidRDefault="005178AD" w:rsidP="0032235A">
      <w:pPr>
        <w:jc w:val="both"/>
        <w:rPr>
          <w:rFonts w:ascii="Times New Roman" w:hAnsi="Times New Roman" w:cs="Times New Roman"/>
        </w:rPr>
      </w:pPr>
      <w:r w:rsidRPr="007F4E9F">
        <w:rPr>
          <w:rFonts w:ascii="Times New Roman" w:hAnsi="Times New Roman" w:cs="Times New Roman"/>
        </w:rPr>
        <w:t xml:space="preserve">Entre los principales </w:t>
      </w:r>
      <w:r w:rsidRPr="007F4E9F">
        <w:rPr>
          <w:rFonts w:ascii="Times New Roman" w:hAnsi="Times New Roman" w:cs="Times New Roman"/>
          <w:b/>
          <w:bCs/>
        </w:rPr>
        <w:t>factores habilitantes</w:t>
      </w:r>
      <w:r w:rsidRPr="007F4E9F">
        <w:rPr>
          <w:rFonts w:ascii="Times New Roman" w:hAnsi="Times New Roman" w:cs="Times New Roman"/>
        </w:rPr>
        <w:t xml:space="preserve"> se identifican el compromiso institucional del organismo ejecutor, la existencia de una base técnica ya desarrollada, la alineación del proyecto con prioridades locales y regionales de economía circular, y el interés de los actores en consolidar un activo regional de cooperación. Como </w:t>
      </w:r>
      <w:r w:rsidRPr="007F4E9F">
        <w:rPr>
          <w:rFonts w:ascii="Times New Roman" w:hAnsi="Times New Roman" w:cs="Times New Roman"/>
          <w:b/>
          <w:bCs/>
        </w:rPr>
        <w:t>factores limitantes</w:t>
      </w:r>
      <w:r w:rsidRPr="007F4E9F">
        <w:rPr>
          <w:rFonts w:ascii="Times New Roman" w:hAnsi="Times New Roman" w:cs="Times New Roman"/>
        </w:rPr>
        <w:t>, persisten debilidades en la tracción del Marketplace, restricciones técnicas que afectan la experiencia de usuario, ausencia de personal exclusivo para soporte y mantenimiento, y una participación aún limitada de las demás ciudades en la asignación de recursos y en la dinamización de la plataforma.</w:t>
      </w:r>
    </w:p>
    <w:p w14:paraId="4AFD0103" w14:textId="77777777" w:rsidR="005178AD" w:rsidRPr="007F4E9F" w:rsidRDefault="005178AD" w:rsidP="0032235A">
      <w:pPr>
        <w:jc w:val="both"/>
        <w:rPr>
          <w:rFonts w:ascii="Times New Roman" w:hAnsi="Times New Roman" w:cs="Times New Roman"/>
        </w:rPr>
      </w:pPr>
      <w:r w:rsidRPr="007F4E9F">
        <w:rPr>
          <w:rFonts w:ascii="Times New Roman" w:hAnsi="Times New Roman" w:cs="Times New Roman"/>
        </w:rPr>
        <w:t xml:space="preserve">Las </w:t>
      </w:r>
      <w:r w:rsidRPr="007F4E9F">
        <w:rPr>
          <w:rFonts w:ascii="Times New Roman" w:hAnsi="Times New Roman" w:cs="Times New Roman"/>
          <w:b/>
          <w:bCs/>
        </w:rPr>
        <w:t>percepciones de los actores</w:t>
      </w:r>
      <w:r w:rsidRPr="007F4E9F">
        <w:rPr>
          <w:rFonts w:ascii="Times New Roman" w:hAnsi="Times New Roman" w:cs="Times New Roman"/>
        </w:rPr>
        <w:t xml:space="preserve"> evidencian un reconocimiento general del valor estratégico de la plataforma como instrumento regional para la economía circular. </w:t>
      </w:r>
      <w:commentRangeStart w:id="8"/>
      <w:r w:rsidRPr="007F4E9F">
        <w:rPr>
          <w:rFonts w:ascii="Times New Roman" w:hAnsi="Times New Roman" w:cs="Times New Roman"/>
        </w:rPr>
        <w:t xml:space="preserve">Aproximadamente el 60 % </w:t>
      </w:r>
      <w:commentRangeEnd w:id="8"/>
      <w:r w:rsidR="00FC1E96" w:rsidRPr="007F4E9F">
        <w:rPr>
          <w:rStyle w:val="CommentReference"/>
          <w:rFonts w:ascii="Times New Roman" w:hAnsi="Times New Roman" w:cs="Times New Roman"/>
          <w:sz w:val="22"/>
          <w:szCs w:val="22"/>
        </w:rPr>
        <w:commentReference w:id="8"/>
      </w:r>
      <w:r w:rsidRPr="007F4E9F">
        <w:rPr>
          <w:rFonts w:ascii="Times New Roman" w:hAnsi="Times New Roman" w:cs="Times New Roman"/>
        </w:rPr>
        <w:t>de los usuarios encuestados manifiesta interés en que el Marketplace continúe funcionando en el futuro, lo que sugiere un potencial de adopción empresarial si se fortalecen sus condiciones de operación.</w:t>
      </w:r>
    </w:p>
    <w:p w14:paraId="6619328F" w14:textId="671CBF82" w:rsidR="005178AD" w:rsidRPr="007F4E9F" w:rsidRDefault="005178AD" w:rsidP="0032235A">
      <w:pPr>
        <w:jc w:val="both"/>
        <w:rPr>
          <w:rFonts w:ascii="Times New Roman" w:hAnsi="Times New Roman" w:cs="Times New Roman"/>
        </w:rPr>
      </w:pPr>
      <w:r w:rsidRPr="007F4E9F">
        <w:rPr>
          <w:rFonts w:ascii="Times New Roman" w:hAnsi="Times New Roman" w:cs="Times New Roman"/>
        </w:rPr>
        <w:t xml:space="preserve">En este contexto, el informe plantea </w:t>
      </w:r>
      <w:r w:rsidRPr="007F4E9F">
        <w:rPr>
          <w:rFonts w:ascii="Times New Roman" w:hAnsi="Times New Roman" w:cs="Times New Roman"/>
          <w:b/>
          <w:bCs/>
        </w:rPr>
        <w:t>recomendaciones iniciales</w:t>
      </w:r>
      <w:r w:rsidRPr="007F4E9F">
        <w:rPr>
          <w:rFonts w:ascii="Times New Roman" w:hAnsi="Times New Roman" w:cs="Times New Roman"/>
        </w:rPr>
        <w:t xml:space="preserve"> orientadas a fortalecer el cierre técnico del proyecto, incluyendo la formalización de la gobernanza regional de la plataforma, la definición de una estructura mínima de operación y soporte técnico, la implementación de mejoras prioritarias de usabilidad y el desarrollo de estrategias para dinamizar la participación empresarial en el Marketplace.</w:t>
      </w:r>
    </w:p>
    <w:p w14:paraId="177D0E39" w14:textId="5EB0A89D" w:rsidR="003270AC" w:rsidRPr="007F4E9F" w:rsidRDefault="002D0A36" w:rsidP="0032235A">
      <w:pPr>
        <w:pStyle w:val="Heading1"/>
        <w:jc w:val="both"/>
        <w:rPr>
          <w:rFonts w:ascii="Times New Roman" w:hAnsi="Times New Roman" w:cs="Times New Roman"/>
          <w:sz w:val="22"/>
          <w:szCs w:val="22"/>
        </w:rPr>
      </w:pPr>
      <w:bookmarkStart w:id="9" w:name="_Toc226750178"/>
      <w:r w:rsidRPr="007F4E9F">
        <w:rPr>
          <w:rFonts w:ascii="Times New Roman" w:hAnsi="Times New Roman" w:cs="Times New Roman"/>
          <w:sz w:val="22"/>
          <w:szCs w:val="22"/>
        </w:rPr>
        <w:t>Alcance</w:t>
      </w:r>
      <w:bookmarkEnd w:id="9"/>
    </w:p>
    <w:p w14:paraId="4E911A88" w14:textId="7DAEF9C4" w:rsidR="00B83F0B" w:rsidRPr="007F4E9F" w:rsidRDefault="00B83F0B" w:rsidP="0032235A">
      <w:pPr>
        <w:autoSpaceDE w:val="0"/>
        <w:autoSpaceDN w:val="0"/>
        <w:adjustRightInd w:val="0"/>
        <w:spacing w:after="0" w:line="240" w:lineRule="auto"/>
        <w:jc w:val="both"/>
        <w:rPr>
          <w:rFonts w:ascii="Times New Roman" w:hAnsi="Times New Roman" w:cs="Times New Roman"/>
        </w:rPr>
      </w:pPr>
      <w:r w:rsidRPr="007F4E9F">
        <w:rPr>
          <w:rFonts w:ascii="Times New Roman" w:hAnsi="Times New Roman" w:cs="Times New Roman"/>
        </w:rPr>
        <w:t xml:space="preserve">El informe </w:t>
      </w:r>
      <w:r w:rsidR="0098397E" w:rsidRPr="007F4E9F">
        <w:rPr>
          <w:rFonts w:ascii="Times New Roman" w:hAnsi="Times New Roman" w:cs="Times New Roman"/>
        </w:rPr>
        <w:t>final</w:t>
      </w:r>
      <w:r w:rsidRPr="007F4E9F">
        <w:rPr>
          <w:rFonts w:ascii="Times New Roman" w:hAnsi="Times New Roman" w:cs="Times New Roman"/>
        </w:rPr>
        <w:t xml:space="preserve"> responde a lo solicitado para el producto </w:t>
      </w:r>
      <w:r w:rsidR="0098397E" w:rsidRPr="007F4E9F">
        <w:rPr>
          <w:rFonts w:ascii="Times New Roman" w:hAnsi="Times New Roman" w:cs="Times New Roman"/>
        </w:rPr>
        <w:t>3</w:t>
      </w:r>
      <w:r w:rsidRPr="007F4E9F">
        <w:rPr>
          <w:rFonts w:ascii="Times New Roman" w:hAnsi="Times New Roman" w:cs="Times New Roman"/>
        </w:rPr>
        <w:t xml:space="preserve"> del contrato de evaluación, en el cual se solicita </w:t>
      </w:r>
      <w:r w:rsidR="0098397E" w:rsidRPr="007F4E9F">
        <w:rPr>
          <w:rFonts w:ascii="Times New Roman" w:hAnsi="Times New Roman" w:cs="Times New Roman"/>
        </w:rPr>
        <w:t>documento final e integral que presentará los resultados completos de la evaluación técnica del Convenio ATN/OC-19080-RG, con análisis por componente, ciudad y nivel regional que</w:t>
      </w:r>
      <w:r w:rsidRPr="007F4E9F">
        <w:rPr>
          <w:rFonts w:ascii="Times New Roman" w:hAnsi="Times New Roman" w:cs="Times New Roman"/>
        </w:rPr>
        <w:t xml:space="preserve"> incluye:</w:t>
      </w:r>
    </w:p>
    <w:p w14:paraId="652FD1DB" w14:textId="77777777" w:rsidR="0098397E" w:rsidRPr="007F4E9F" w:rsidRDefault="0098397E" w:rsidP="005C3660">
      <w:pPr>
        <w:pStyle w:val="ListParagraph"/>
        <w:numPr>
          <w:ilvl w:val="0"/>
          <w:numId w:val="18"/>
        </w:numPr>
        <w:autoSpaceDE w:val="0"/>
        <w:autoSpaceDN w:val="0"/>
        <w:adjustRightInd w:val="0"/>
        <w:spacing w:after="0" w:line="240" w:lineRule="auto"/>
        <w:jc w:val="both"/>
        <w:rPr>
          <w:rFonts w:ascii="Times New Roman" w:hAnsi="Times New Roman" w:cs="Times New Roman"/>
        </w:rPr>
      </w:pPr>
      <w:r w:rsidRPr="007F4E9F">
        <w:rPr>
          <w:rFonts w:ascii="Times New Roman" w:hAnsi="Times New Roman" w:cs="Times New Roman"/>
        </w:rPr>
        <w:t>Evaluación consolidada del cumplimiento de objetivos, resultados e indicadores del proyecto.</w:t>
      </w:r>
    </w:p>
    <w:p w14:paraId="7692BAB6" w14:textId="05585EEE" w:rsidR="0098397E" w:rsidRPr="007F4E9F" w:rsidRDefault="0098397E" w:rsidP="005C3660">
      <w:pPr>
        <w:pStyle w:val="ListParagraph"/>
        <w:numPr>
          <w:ilvl w:val="0"/>
          <w:numId w:val="18"/>
        </w:numPr>
        <w:autoSpaceDE w:val="0"/>
        <w:autoSpaceDN w:val="0"/>
        <w:adjustRightInd w:val="0"/>
        <w:spacing w:after="0" w:line="240" w:lineRule="auto"/>
        <w:jc w:val="both"/>
        <w:rPr>
          <w:rFonts w:ascii="Times New Roman" w:hAnsi="Times New Roman" w:cs="Times New Roman"/>
        </w:rPr>
      </w:pPr>
      <w:r w:rsidRPr="007F4E9F">
        <w:rPr>
          <w:rFonts w:ascii="Times New Roman" w:hAnsi="Times New Roman" w:cs="Times New Roman" w:hint="eastAsia"/>
        </w:rPr>
        <w:t>Análisis de la coherencia de la intervención, tanto en su diseño como en su ejecución.</w:t>
      </w:r>
    </w:p>
    <w:p w14:paraId="70ED921F" w14:textId="77777777" w:rsidR="0098397E" w:rsidRPr="007F4E9F" w:rsidRDefault="0098397E" w:rsidP="005C3660">
      <w:pPr>
        <w:pStyle w:val="ListParagraph"/>
        <w:numPr>
          <w:ilvl w:val="0"/>
          <w:numId w:val="18"/>
        </w:numPr>
        <w:autoSpaceDE w:val="0"/>
        <w:autoSpaceDN w:val="0"/>
        <w:adjustRightInd w:val="0"/>
        <w:spacing w:after="0" w:line="240" w:lineRule="auto"/>
        <w:jc w:val="both"/>
        <w:rPr>
          <w:rFonts w:ascii="Times New Roman" w:hAnsi="Times New Roman" w:cs="Times New Roman"/>
        </w:rPr>
      </w:pPr>
      <w:r w:rsidRPr="007F4E9F">
        <w:rPr>
          <w:rFonts w:ascii="Times New Roman" w:hAnsi="Times New Roman" w:cs="Times New Roman" w:hint="eastAsia"/>
        </w:rPr>
        <w:t>Valoración de la pertinencia de las acciones desarrolladas frente a los contextos locales y regionales.</w:t>
      </w:r>
    </w:p>
    <w:p w14:paraId="2584F4E3" w14:textId="07BCCC12" w:rsidR="0098397E" w:rsidRPr="007F4E9F" w:rsidRDefault="0098397E" w:rsidP="005C3660">
      <w:pPr>
        <w:pStyle w:val="ListParagraph"/>
        <w:numPr>
          <w:ilvl w:val="0"/>
          <w:numId w:val="18"/>
        </w:numPr>
        <w:autoSpaceDE w:val="0"/>
        <w:autoSpaceDN w:val="0"/>
        <w:adjustRightInd w:val="0"/>
        <w:spacing w:after="0" w:line="240" w:lineRule="auto"/>
        <w:jc w:val="both"/>
        <w:rPr>
          <w:rFonts w:ascii="Times New Roman" w:hAnsi="Times New Roman" w:cs="Times New Roman"/>
        </w:rPr>
      </w:pPr>
      <w:r w:rsidRPr="007F4E9F">
        <w:rPr>
          <w:rFonts w:ascii="Times New Roman" w:hAnsi="Times New Roman" w:cs="Times New Roman" w:hint="eastAsia"/>
        </w:rPr>
        <w:t>Evaluación de la sostenibilidad institucional, técnica y financiera de los resultados alcanzados.</w:t>
      </w:r>
    </w:p>
    <w:p w14:paraId="78B36288" w14:textId="0B6B8496" w:rsidR="0098397E" w:rsidRPr="007F4E9F" w:rsidRDefault="0098397E" w:rsidP="005C3660">
      <w:pPr>
        <w:pStyle w:val="ListParagraph"/>
        <w:numPr>
          <w:ilvl w:val="0"/>
          <w:numId w:val="18"/>
        </w:numPr>
        <w:autoSpaceDE w:val="0"/>
        <w:autoSpaceDN w:val="0"/>
        <w:adjustRightInd w:val="0"/>
        <w:spacing w:after="0" w:line="240" w:lineRule="auto"/>
        <w:jc w:val="both"/>
        <w:rPr>
          <w:rFonts w:ascii="Times New Roman" w:hAnsi="Times New Roman" w:cs="Times New Roman"/>
        </w:rPr>
      </w:pPr>
      <w:r w:rsidRPr="007F4E9F">
        <w:rPr>
          <w:rFonts w:ascii="Times New Roman" w:hAnsi="Times New Roman" w:cs="Times New Roman" w:hint="eastAsia"/>
        </w:rPr>
        <w:t>Identificación de buenas prácticas y lecciones aprendidas, con énfasis en experiencias transferibles.</w:t>
      </w:r>
    </w:p>
    <w:p w14:paraId="14D7F2D8" w14:textId="03665A31" w:rsidR="0098397E" w:rsidRPr="007F4E9F" w:rsidRDefault="0098397E" w:rsidP="005C3660">
      <w:pPr>
        <w:pStyle w:val="ListParagraph"/>
        <w:numPr>
          <w:ilvl w:val="0"/>
          <w:numId w:val="18"/>
        </w:numPr>
        <w:autoSpaceDE w:val="0"/>
        <w:autoSpaceDN w:val="0"/>
        <w:adjustRightInd w:val="0"/>
        <w:spacing w:after="0" w:line="240" w:lineRule="auto"/>
        <w:jc w:val="both"/>
        <w:rPr>
          <w:rFonts w:ascii="Times New Roman" w:hAnsi="Times New Roman" w:cs="Times New Roman"/>
        </w:rPr>
      </w:pPr>
      <w:r w:rsidRPr="007F4E9F">
        <w:rPr>
          <w:rFonts w:ascii="Times New Roman" w:hAnsi="Times New Roman" w:cs="Times New Roman" w:hint="eastAsia"/>
        </w:rPr>
        <w:t>Análisis del potencial de escalabilidad de los productos y modelos desarrollados en otras ciudades o países.</w:t>
      </w:r>
    </w:p>
    <w:p w14:paraId="3B13415C" w14:textId="77777777" w:rsidR="0098397E" w:rsidRPr="007F4E9F" w:rsidRDefault="0098397E" w:rsidP="005C3660">
      <w:pPr>
        <w:pStyle w:val="ListParagraph"/>
        <w:numPr>
          <w:ilvl w:val="0"/>
          <w:numId w:val="18"/>
        </w:numPr>
        <w:autoSpaceDE w:val="0"/>
        <w:autoSpaceDN w:val="0"/>
        <w:adjustRightInd w:val="0"/>
        <w:spacing w:after="0" w:line="240" w:lineRule="auto"/>
        <w:jc w:val="both"/>
        <w:rPr>
          <w:rFonts w:ascii="Times New Roman" w:hAnsi="Times New Roman" w:cs="Times New Roman"/>
        </w:rPr>
      </w:pPr>
      <w:r w:rsidRPr="007F4E9F">
        <w:rPr>
          <w:rFonts w:ascii="Times New Roman" w:hAnsi="Times New Roman" w:cs="Times New Roman" w:hint="eastAsia"/>
        </w:rPr>
        <w:t>Recomendaciones estratégicas para la consolidación del proyecto y su aprovechamiento por parte de las contrapartes.</w:t>
      </w:r>
    </w:p>
    <w:p w14:paraId="167B0311" w14:textId="6CBF3552" w:rsidR="00B83F0B" w:rsidRPr="007F4E9F" w:rsidRDefault="0098397E" w:rsidP="005C3660">
      <w:pPr>
        <w:pStyle w:val="ListParagraph"/>
        <w:numPr>
          <w:ilvl w:val="0"/>
          <w:numId w:val="18"/>
        </w:numPr>
        <w:autoSpaceDE w:val="0"/>
        <w:autoSpaceDN w:val="0"/>
        <w:adjustRightInd w:val="0"/>
        <w:spacing w:after="0" w:line="240" w:lineRule="auto"/>
        <w:jc w:val="both"/>
        <w:rPr>
          <w:rFonts w:ascii="Times New Roman" w:hAnsi="Times New Roman" w:cs="Times New Roman"/>
        </w:rPr>
      </w:pPr>
      <w:r w:rsidRPr="007F4E9F">
        <w:rPr>
          <w:rFonts w:ascii="Times New Roman" w:hAnsi="Times New Roman" w:cs="Times New Roman" w:hint="eastAsia"/>
        </w:rPr>
        <w:t>Anexos técnicos, incluyendo instrumentos de recolección de información, matrices comparativas, lista de entrevistas y fuentes consultadas.</w:t>
      </w:r>
    </w:p>
    <w:p w14:paraId="7E6D6EE4" w14:textId="77777777" w:rsidR="0098397E" w:rsidRPr="007F4E9F" w:rsidRDefault="0098397E" w:rsidP="0098397E">
      <w:pPr>
        <w:autoSpaceDE w:val="0"/>
        <w:autoSpaceDN w:val="0"/>
        <w:adjustRightInd w:val="0"/>
        <w:spacing w:after="0" w:line="240" w:lineRule="auto"/>
        <w:jc w:val="both"/>
        <w:rPr>
          <w:rFonts w:ascii="Times New Roman" w:hAnsi="Times New Roman" w:cs="Times New Roman"/>
        </w:rPr>
      </w:pPr>
    </w:p>
    <w:p w14:paraId="46AF11E6" w14:textId="03B5BB26" w:rsidR="00B83F0B" w:rsidRPr="007F4E9F" w:rsidRDefault="00B83F0B" w:rsidP="0098397E">
      <w:pPr>
        <w:jc w:val="both"/>
        <w:rPr>
          <w:rFonts w:ascii="Times New Roman" w:hAnsi="Times New Roman" w:cs="Times New Roman"/>
        </w:rPr>
      </w:pPr>
      <w:r w:rsidRPr="007F4E9F">
        <w:rPr>
          <w:rFonts w:ascii="Times New Roman" w:hAnsi="Times New Roman" w:cs="Times New Roman"/>
        </w:rPr>
        <w:t>Si bien el presente informe aborda cada uno de los puntos solicitados, lo hace en un orden diferente para mantener el rigor metodológico.</w:t>
      </w:r>
      <w:r w:rsidR="007B0BFE" w:rsidRPr="007F4E9F">
        <w:rPr>
          <w:rFonts w:ascii="Times New Roman" w:hAnsi="Times New Roman" w:cs="Times New Roman"/>
        </w:rPr>
        <w:t xml:space="preserve"> Dado </w:t>
      </w:r>
      <w:r w:rsidR="002D687A" w:rsidRPr="007F4E9F">
        <w:rPr>
          <w:rFonts w:ascii="Times New Roman" w:hAnsi="Times New Roman" w:cs="Times New Roman"/>
        </w:rPr>
        <w:t xml:space="preserve">el carácter final </w:t>
      </w:r>
      <w:r w:rsidR="007B0BFE" w:rsidRPr="007F4E9F">
        <w:rPr>
          <w:rFonts w:ascii="Times New Roman" w:hAnsi="Times New Roman" w:cs="Times New Roman"/>
        </w:rPr>
        <w:t>de este informe, se inclu</w:t>
      </w:r>
      <w:r w:rsidR="002D687A" w:rsidRPr="007F4E9F">
        <w:rPr>
          <w:rFonts w:ascii="Times New Roman" w:hAnsi="Times New Roman" w:cs="Times New Roman"/>
        </w:rPr>
        <w:t xml:space="preserve">ye la evaluación de los siete </w:t>
      </w:r>
      <w:r w:rsidR="0098397E" w:rsidRPr="007F4E9F">
        <w:rPr>
          <w:rFonts w:ascii="Times New Roman" w:hAnsi="Times New Roman" w:cs="Times New Roman"/>
        </w:rPr>
        <w:t>criterios a saber: Pertinencia, coherencia, cumplimiento, eficiencia, impacto, sostenibilidad y escalabilidad</w:t>
      </w:r>
      <w:r w:rsidR="002D687A" w:rsidRPr="007F4E9F">
        <w:rPr>
          <w:rFonts w:ascii="Times New Roman" w:hAnsi="Times New Roman" w:cs="Times New Roman"/>
        </w:rPr>
        <w:t xml:space="preserve">. </w:t>
      </w:r>
      <w:r w:rsidRPr="007F4E9F">
        <w:rPr>
          <w:rFonts w:ascii="Times New Roman" w:hAnsi="Times New Roman" w:cs="Times New Roman"/>
        </w:rPr>
        <w:t>Por lo tanto, la aplicación de los criterios seguirá el orden propuesto en la tabla 1</w:t>
      </w:r>
      <w:r w:rsidR="000A3157" w:rsidRPr="007F4E9F">
        <w:rPr>
          <w:rFonts w:ascii="Times New Roman" w:hAnsi="Times New Roman" w:cs="Times New Roman"/>
        </w:rPr>
        <w:t xml:space="preserve"> </w:t>
      </w:r>
      <w:r w:rsidRPr="007F4E9F">
        <w:rPr>
          <w:rFonts w:ascii="Times New Roman" w:hAnsi="Times New Roman" w:cs="Times New Roman"/>
        </w:rPr>
        <w:t>del presente documento y lo solicitado en el producto se colocará en el cuerpo del texto para facilitar la verificación del producto</w:t>
      </w:r>
      <w:r w:rsidR="0049751C" w:rsidRPr="007F4E9F">
        <w:rPr>
          <w:rFonts w:ascii="Times New Roman" w:hAnsi="Times New Roman" w:cs="Times New Roman"/>
        </w:rPr>
        <w:t xml:space="preserve"> por parte de la supervisión y el equipo técnico.  </w:t>
      </w:r>
    </w:p>
    <w:p w14:paraId="2F575219" w14:textId="2FDCEBF6" w:rsidR="003D7BAC" w:rsidRPr="007F4E9F" w:rsidRDefault="00B83F0B" w:rsidP="0032235A">
      <w:pPr>
        <w:jc w:val="both"/>
        <w:rPr>
          <w:rFonts w:ascii="Times New Roman" w:hAnsi="Times New Roman" w:cs="Times New Roman"/>
        </w:rPr>
      </w:pPr>
      <w:r w:rsidRPr="007F4E9F">
        <w:rPr>
          <w:rFonts w:ascii="Times New Roman" w:hAnsi="Times New Roman" w:cs="Times New Roman"/>
        </w:rPr>
        <w:t xml:space="preserve">Adicionalmente, para mantener coherencia en la evaluación se procede a la aplicación de los criterios por componente (1 y 2) incluyendo las percepciones de los actores en cada criterio para que no se diluyan en un capítulo independiente y finalmente se presentan las conclusiones y recomendaciones generales del proyecto. </w:t>
      </w:r>
      <w:commentRangeStart w:id="10"/>
      <w:r w:rsidR="003D7BAC" w:rsidRPr="007F4E9F">
        <w:rPr>
          <w:rFonts w:ascii="Times New Roman" w:hAnsi="Times New Roman" w:cs="Times New Roman"/>
        </w:rPr>
        <w:t>El componente 3 del convenio no se evalúa dado que no se implementó como consta en el Anexo 1, donde se comunica al BID la no continuidad de este componente.</w:t>
      </w:r>
      <w:commentRangeEnd w:id="10"/>
      <w:r w:rsidR="004A3788" w:rsidRPr="007F4E9F">
        <w:rPr>
          <w:rStyle w:val="CommentReference"/>
          <w:rFonts w:ascii="Times New Roman" w:hAnsi="Times New Roman" w:cs="Times New Roman"/>
          <w:sz w:val="22"/>
          <w:szCs w:val="22"/>
        </w:rPr>
        <w:commentReference w:id="10"/>
      </w:r>
    </w:p>
    <w:p w14:paraId="0BA1FEF0" w14:textId="51D45177" w:rsidR="001E7087" w:rsidRPr="007F4E9F" w:rsidDel="007B0BFE" w:rsidRDefault="00B83F0B" w:rsidP="0032235A">
      <w:pPr>
        <w:jc w:val="both"/>
        <w:rPr>
          <w:rFonts w:ascii="Times New Roman" w:hAnsi="Times New Roman" w:cs="Times New Roman"/>
        </w:rPr>
      </w:pPr>
      <w:r w:rsidRPr="007F4E9F">
        <w:rPr>
          <w:rFonts w:ascii="Times New Roman" w:hAnsi="Times New Roman" w:cs="Times New Roman"/>
        </w:rPr>
        <w:t xml:space="preserve">Dado que </w:t>
      </w:r>
      <w:r w:rsidR="0070000A" w:rsidRPr="007F4E9F">
        <w:rPr>
          <w:rFonts w:ascii="Times New Roman" w:hAnsi="Times New Roman" w:cs="Times New Roman"/>
        </w:rPr>
        <w:t xml:space="preserve">se evalúan dos componentes </w:t>
      </w:r>
      <w:r w:rsidR="00B206C1" w:rsidRPr="007F4E9F">
        <w:rPr>
          <w:rFonts w:ascii="Times New Roman" w:hAnsi="Times New Roman" w:cs="Times New Roman"/>
        </w:rPr>
        <w:t xml:space="preserve">con referencia a los siete criterios y </w:t>
      </w:r>
      <w:r w:rsidRPr="007F4E9F">
        <w:rPr>
          <w:rFonts w:ascii="Times New Roman" w:hAnsi="Times New Roman" w:cs="Times New Roman"/>
        </w:rPr>
        <w:t>que cada criterio evalúa varios alcances, se procederá a abordar cada componente con la aplicación de todos los alcances definidos en cada criterio</w:t>
      </w:r>
      <w:r w:rsidR="003D7BAC" w:rsidRPr="007F4E9F">
        <w:rPr>
          <w:rFonts w:ascii="Times New Roman" w:hAnsi="Times New Roman" w:cs="Times New Roman"/>
        </w:rPr>
        <w:t xml:space="preserve"> para hacer un análisis estricto</w:t>
      </w:r>
      <w:r w:rsidRPr="007F4E9F">
        <w:rPr>
          <w:rFonts w:ascii="Times New Roman" w:hAnsi="Times New Roman" w:cs="Times New Roman"/>
        </w:rPr>
        <w:t xml:space="preserve">. </w:t>
      </w:r>
    </w:p>
    <w:p w14:paraId="6A162A77" w14:textId="77777777" w:rsidR="0058424E" w:rsidRPr="007F4E9F" w:rsidRDefault="0058424E" w:rsidP="000A3157">
      <w:pPr>
        <w:pStyle w:val="Heading1"/>
        <w:rPr>
          <w:rFonts w:ascii="Times New Roman" w:hAnsi="Times New Roman"/>
          <w:sz w:val="22"/>
        </w:rPr>
      </w:pPr>
      <w:bookmarkStart w:id="11" w:name="_Toc226750179"/>
      <w:r w:rsidRPr="007F4E9F">
        <w:rPr>
          <w:rFonts w:ascii="Times New Roman" w:hAnsi="Times New Roman"/>
          <w:sz w:val="22"/>
        </w:rPr>
        <w:t>Contexto del Proyecto</w:t>
      </w:r>
      <w:bookmarkEnd w:id="11"/>
    </w:p>
    <w:p w14:paraId="61B037D2" w14:textId="3F2714EA" w:rsidR="0058424E" w:rsidRPr="007F4E9F" w:rsidRDefault="0058424E" w:rsidP="0032235A">
      <w:pPr>
        <w:jc w:val="both"/>
        <w:rPr>
          <w:rFonts w:ascii="Times New Roman" w:hAnsi="Times New Roman" w:cs="Times New Roman"/>
        </w:rPr>
      </w:pPr>
      <w:r w:rsidRPr="007F4E9F">
        <w:rPr>
          <w:rFonts w:ascii="Times New Roman" w:hAnsi="Times New Roman" w:cs="Times New Roman"/>
        </w:rPr>
        <w:t>Por medio de la convocatoria anual para cooperación técnica (CT), “Bienes Públicos Regionales”, el Banco Interamericano de Desarrollo (BID) financia proyectos concretos de coordinación regional que apunten a la creación de bienes públicos regionales en América Latina.</w:t>
      </w:r>
      <w:r w:rsidR="00366DE0" w:rsidRPr="007F4E9F">
        <w:rPr>
          <w:rFonts w:ascii="Times New Roman" w:hAnsi="Times New Roman" w:cs="Times New Roman"/>
        </w:rPr>
        <w:t xml:space="preserve"> </w:t>
      </w:r>
      <w:r w:rsidRPr="007F4E9F">
        <w:rPr>
          <w:rFonts w:ascii="Times New Roman" w:hAnsi="Times New Roman" w:cs="Times New Roman"/>
        </w:rPr>
        <w:t>Estos son definidos como bienes, servicios o recursos que son producidos y consumidos colectivamente por el sector público y, donde serán apropiados por el sector privado sin fines de lucro en un mínimo de tres (3) países miembros prestatarios del BID, y que tengan el potencial de generar beneficios significativos comunes y efectos indirectos positivos.</w:t>
      </w:r>
    </w:p>
    <w:p w14:paraId="2873B3CF" w14:textId="2D96D1D1" w:rsidR="00366DE0" w:rsidRPr="007F4E9F" w:rsidRDefault="0058424E" w:rsidP="0032235A">
      <w:pPr>
        <w:jc w:val="both"/>
        <w:rPr>
          <w:rFonts w:ascii="Times New Roman" w:hAnsi="Times New Roman" w:cs="Times New Roman"/>
        </w:rPr>
      </w:pPr>
      <w:r w:rsidRPr="007F4E9F">
        <w:rPr>
          <w:rFonts w:ascii="Times New Roman" w:hAnsi="Times New Roman" w:cs="Times New Roman"/>
        </w:rPr>
        <w:t xml:space="preserve">En el marco de esta convocatoria, </w:t>
      </w:r>
      <w:r w:rsidR="00366DE0" w:rsidRPr="007F4E9F">
        <w:rPr>
          <w:rFonts w:ascii="Times New Roman" w:hAnsi="Times New Roman" w:cs="Times New Roman"/>
        </w:rPr>
        <w:t xml:space="preserve">a </w:t>
      </w:r>
      <w:r w:rsidR="00DB04E1" w:rsidRPr="007F4E9F">
        <w:rPr>
          <w:rFonts w:ascii="Times New Roman" w:hAnsi="Times New Roman" w:cs="Times New Roman"/>
        </w:rPr>
        <w:t>través</w:t>
      </w:r>
      <w:r w:rsidR="00366DE0" w:rsidRPr="007F4E9F">
        <w:rPr>
          <w:rFonts w:ascii="Times New Roman" w:hAnsi="Times New Roman" w:cs="Times New Roman"/>
        </w:rPr>
        <w:t xml:space="preserve"> del convenio de </w:t>
      </w:r>
      <w:r w:rsidR="00366DE0" w:rsidRPr="007F4E9F">
        <w:rPr>
          <w:rFonts w:ascii="Times New Roman" w:hAnsi="Times New Roman" w:cs="Times New Roman"/>
          <w:color w:val="000000"/>
        </w:rPr>
        <w:t>Cooperación Técnica Regional No Reembolsable No. ATN/OC-19080-RG</w:t>
      </w:r>
      <w:r w:rsidR="00366DE0" w:rsidRPr="007F4E9F">
        <w:rPr>
          <w:rFonts w:ascii="Times New Roman" w:hAnsi="Times New Roman" w:cs="Times New Roman"/>
        </w:rPr>
        <w:t>, la Secretaría Distrital de Ambiente (SDA), fue seleccionada para implementar el proyecto “Plataforma Colaborativa Regional para el Fortalecimiento de la Economía Circular, de cara a la recuperación post COVID-19 y la mitigación del cambio climático” entre los años 2022 y 2025 en Bogotá, D.C. (Colombia), Santiago de Chile (Chile), Quito (Ecuador) y Lima (Perú). Este proyecto es liderado por la SDA, en calidad de organismo ejecutor, con el apoyo de los beneficiarios: Secretaría Distrital de Desarrollo Económico de Bogotá, Secretaría Distrital de Hábitat de Bogotá, Corporación de Fomento de la Producción Región Metropolitana de Santiago de Chile</w:t>
      </w:r>
      <w:r w:rsidR="00AB0650" w:rsidRPr="007F4E9F">
        <w:rPr>
          <w:rFonts w:ascii="Times New Roman" w:hAnsi="Times New Roman" w:cs="Times New Roman"/>
        </w:rPr>
        <w:t xml:space="preserve"> (CORFO)</w:t>
      </w:r>
      <w:r w:rsidR="00366DE0" w:rsidRPr="007F4E9F">
        <w:rPr>
          <w:rFonts w:ascii="Times New Roman" w:hAnsi="Times New Roman" w:cs="Times New Roman"/>
        </w:rPr>
        <w:t>, la Gerencia de Desarrollo Económico de Lima, la Gerencia de Servicios a la Ciudad y Gestión Ambiental de Lima, y la Secretaría de Desarrollo Productivo y Competitividad de Quito.</w:t>
      </w:r>
    </w:p>
    <w:p w14:paraId="66BDC8F4" w14:textId="4DAC5688" w:rsidR="00FD66C4" w:rsidRPr="007F4E9F" w:rsidRDefault="00FD66C4" w:rsidP="00FD66C4">
      <w:pPr>
        <w:rPr>
          <w:rFonts w:ascii="Times New Roman" w:hAnsi="Times New Roman" w:cs="Times New Roman"/>
        </w:rPr>
      </w:pPr>
      <w:r w:rsidRPr="007F4E9F">
        <w:rPr>
          <w:rFonts w:ascii="Times New Roman" w:hAnsi="Times New Roman" w:cs="Times New Roman"/>
        </w:rPr>
        <w:t>De acuerdo con lo establecido en el convenio:</w:t>
      </w:r>
    </w:p>
    <w:p w14:paraId="19D335A0" w14:textId="77777777" w:rsidR="00FD66C4" w:rsidRPr="007F4E9F" w:rsidRDefault="00FD66C4" w:rsidP="000A3157">
      <w:pPr>
        <w:ind w:left="720"/>
        <w:jc w:val="both"/>
        <w:rPr>
          <w:rFonts w:ascii="Times New Roman" w:hAnsi="Times New Roman" w:cs="Times New Roman"/>
        </w:rPr>
      </w:pPr>
      <w:r w:rsidRPr="007F4E9F">
        <w:rPr>
          <w:rFonts w:ascii="Times New Roman" w:hAnsi="Times New Roman" w:cs="Times New Roman"/>
        </w:rPr>
        <w:t>El objetivo del convenio es impulsar la transición a la economía circular en América Latina y el Caribe a través de: (a) el diseño e implementación de una plataforma digital que permita articular la demanda y oferta de insumos reutilizables entre empresas, facilitando así la generación de mercados circulares en las ciudades (zonas metropolitanas) de Bogotá, Lima, Quito y Santiago de Chile; (b) el desarrollo de guías en materia de economía circular que ayuden a la región a implementar políticas que promuevan el modelo de negocio circular; y (c) el desarrollo de una caja de herramientas para el diseño de mecanismos financieros alternativos orientados a impulsar la transición hacia procesos de residuo cero y bajos en emisiones de carbono.</w:t>
      </w:r>
    </w:p>
    <w:p w14:paraId="56BCEDB3" w14:textId="5BA0722C" w:rsidR="00FD66C4" w:rsidRPr="007F4E9F" w:rsidRDefault="00FD66C4" w:rsidP="00FD66C4">
      <w:pPr>
        <w:rPr>
          <w:rFonts w:ascii="Times New Roman" w:hAnsi="Times New Roman" w:cs="Times New Roman"/>
        </w:rPr>
      </w:pPr>
      <w:commentRangeStart w:id="12"/>
      <w:r w:rsidRPr="007F4E9F">
        <w:rPr>
          <w:rFonts w:ascii="Times New Roman" w:hAnsi="Times New Roman" w:cs="Times New Roman"/>
        </w:rPr>
        <w:t>(Banco Interamericano de Desarrollo, año, p. 23)</w:t>
      </w:r>
      <w:commentRangeEnd w:id="12"/>
      <w:r w:rsidR="004A3788" w:rsidRPr="007F4E9F">
        <w:rPr>
          <w:rStyle w:val="CommentReference"/>
          <w:rFonts w:ascii="Times New Roman" w:hAnsi="Times New Roman" w:cs="Times New Roman"/>
          <w:sz w:val="22"/>
          <w:szCs w:val="22"/>
        </w:rPr>
        <w:commentReference w:id="12"/>
      </w:r>
    </w:p>
    <w:p w14:paraId="187A3D3D" w14:textId="45AFDEFB" w:rsidR="001E7087" w:rsidRPr="007F4E9F" w:rsidRDefault="001E7087" w:rsidP="001E7087">
      <w:pPr>
        <w:autoSpaceDE w:val="0"/>
        <w:autoSpaceDN w:val="0"/>
        <w:adjustRightInd w:val="0"/>
        <w:spacing w:after="0" w:line="240" w:lineRule="auto"/>
        <w:jc w:val="both"/>
        <w:rPr>
          <w:rFonts w:ascii="Times New Roman" w:hAnsi="Times New Roman" w:cs="Times New Roman"/>
        </w:rPr>
      </w:pPr>
      <w:r w:rsidRPr="007F4E9F">
        <w:rPr>
          <w:rFonts w:ascii="Times New Roman" w:hAnsi="Times New Roman" w:cs="Times New Roman"/>
        </w:rPr>
        <w:t>Para cumplir con el objetivo descrito, se buscaba desarrollar los tres componentes siguientes. Se mantiene el texto original del convenio</w:t>
      </w:r>
      <w:r w:rsidR="00685230" w:rsidRPr="007F4E9F">
        <w:rPr>
          <w:rFonts w:ascii="Times New Roman" w:hAnsi="Times New Roman" w:cs="Times New Roman"/>
        </w:rPr>
        <w:t xml:space="preserve"> con cambios en el tiempo gramatical de futuro a pasado</w:t>
      </w:r>
      <w:r w:rsidRPr="007F4E9F">
        <w:rPr>
          <w:rFonts w:ascii="Times New Roman" w:hAnsi="Times New Roman" w:cs="Times New Roman"/>
        </w:rPr>
        <w:t xml:space="preserve"> para cada componente con el fin de mantener la precisión de lo que será evaluado: </w:t>
      </w:r>
    </w:p>
    <w:p w14:paraId="7162A7EB" w14:textId="473F432D" w:rsidR="00366DE0" w:rsidRPr="007F4E9F" w:rsidRDefault="00366DE0" w:rsidP="0032235A">
      <w:pPr>
        <w:jc w:val="both"/>
        <w:rPr>
          <w:rFonts w:ascii="Times New Roman" w:hAnsi="Times New Roman" w:cs="Times New Roman"/>
        </w:rPr>
      </w:pPr>
    </w:p>
    <w:p w14:paraId="0D7A566B" w14:textId="77777777" w:rsidR="00366DE0" w:rsidRPr="007F4E9F" w:rsidRDefault="00366DE0" w:rsidP="0032235A">
      <w:pPr>
        <w:pStyle w:val="Heading2"/>
        <w:jc w:val="both"/>
        <w:rPr>
          <w:rFonts w:ascii="Times New Roman" w:hAnsi="Times New Roman" w:cs="Times New Roman"/>
          <w:sz w:val="22"/>
          <w:szCs w:val="22"/>
        </w:rPr>
      </w:pPr>
      <w:bookmarkStart w:id="13" w:name="_Toc226750180"/>
      <w:r w:rsidRPr="007F4E9F">
        <w:rPr>
          <w:rFonts w:ascii="Times New Roman" w:hAnsi="Times New Roman" w:cs="Times New Roman"/>
          <w:sz w:val="22"/>
          <w:szCs w:val="22"/>
        </w:rPr>
        <w:t>Componente 1. Diseño y operación de una plataforma de economía circular</w:t>
      </w:r>
      <w:bookmarkEnd w:id="13"/>
      <w:r w:rsidRPr="007F4E9F">
        <w:rPr>
          <w:rFonts w:ascii="Times New Roman" w:hAnsi="Times New Roman" w:cs="Times New Roman"/>
          <w:sz w:val="22"/>
          <w:szCs w:val="22"/>
        </w:rPr>
        <w:t xml:space="preserve"> </w:t>
      </w:r>
    </w:p>
    <w:p w14:paraId="6100DF86" w14:textId="5E573D4C" w:rsidR="00366DE0" w:rsidRPr="007F4E9F" w:rsidRDefault="00366DE0" w:rsidP="00FD66C4">
      <w:pPr>
        <w:ind w:left="720"/>
        <w:jc w:val="both"/>
        <w:rPr>
          <w:rFonts w:ascii="Times New Roman" w:hAnsi="Times New Roman" w:cs="Times New Roman"/>
        </w:rPr>
      </w:pPr>
      <w:r w:rsidRPr="007F4E9F">
        <w:rPr>
          <w:rFonts w:ascii="Times New Roman" w:hAnsi="Times New Roman" w:cs="Times New Roman"/>
        </w:rPr>
        <w:t>Este componente financi</w:t>
      </w:r>
      <w:r w:rsidR="00F52A90" w:rsidRPr="007F4E9F">
        <w:rPr>
          <w:rFonts w:ascii="Times New Roman" w:hAnsi="Times New Roman" w:cs="Times New Roman"/>
        </w:rPr>
        <w:t>ó</w:t>
      </w:r>
      <w:r w:rsidRPr="007F4E9F">
        <w:rPr>
          <w:rFonts w:ascii="Times New Roman" w:hAnsi="Times New Roman" w:cs="Times New Roman"/>
        </w:rPr>
        <w:t>: (a) una plataforma digital de alcance regional</w:t>
      </w:r>
      <w:r w:rsidR="00F52A90" w:rsidRPr="007F4E9F">
        <w:rPr>
          <w:rFonts w:ascii="Times New Roman" w:hAnsi="Times New Roman" w:cs="Times New Roman"/>
        </w:rPr>
        <w:t xml:space="preserve"> para</w:t>
      </w:r>
      <w:r w:rsidRPr="007F4E9F">
        <w:rPr>
          <w:rFonts w:ascii="Times New Roman" w:hAnsi="Times New Roman" w:cs="Times New Roman"/>
        </w:rPr>
        <w:t xml:space="preserve"> articular la demanda y la oferta de insumos reutilizables entre empresas locales y regionales. Busc</w:t>
      </w:r>
      <w:r w:rsidR="00685230" w:rsidRPr="007F4E9F">
        <w:rPr>
          <w:rFonts w:ascii="Times New Roman" w:hAnsi="Times New Roman" w:cs="Times New Roman"/>
        </w:rPr>
        <w:t>ó</w:t>
      </w:r>
      <w:r w:rsidRPr="007F4E9F">
        <w:rPr>
          <w:rFonts w:ascii="Times New Roman" w:hAnsi="Times New Roman" w:cs="Times New Roman"/>
        </w:rPr>
        <w:t xml:space="preserve"> fortalecer los mercados al interior de las ciudades e integrar un mercado común entre las cuatro ciudades participantes, y las que se sumen a futuro; y (b) un sistema de indicadores para evaluar los procesos en economía circular producto de la plataforma. El objetivo de este componente </w:t>
      </w:r>
      <w:r w:rsidR="00685230" w:rsidRPr="007F4E9F">
        <w:rPr>
          <w:rFonts w:ascii="Times New Roman" w:hAnsi="Times New Roman" w:cs="Times New Roman"/>
        </w:rPr>
        <w:t>era</w:t>
      </w:r>
      <w:r w:rsidRPr="007F4E9F">
        <w:rPr>
          <w:rFonts w:ascii="Times New Roman" w:hAnsi="Times New Roman" w:cs="Times New Roman"/>
        </w:rPr>
        <w:t xml:space="preserve"> promover y lograr intercambios de materiales o subproductos entre empresas que forman parte de la plataforma, para el seguimiento sobre la cantidad de toneladas de residuos o subproductos intercambiados a través de la plataforma.</w:t>
      </w:r>
    </w:p>
    <w:p w14:paraId="3FE28EBD" w14:textId="77777777" w:rsidR="00FD66C4" w:rsidRPr="007F4E9F" w:rsidRDefault="00FD66C4" w:rsidP="00FD66C4">
      <w:pPr>
        <w:rPr>
          <w:rFonts w:ascii="Times New Roman" w:hAnsi="Times New Roman" w:cs="Times New Roman"/>
        </w:rPr>
      </w:pPr>
      <w:r w:rsidRPr="004A3788">
        <w:rPr>
          <w:rFonts w:ascii="Times New Roman" w:hAnsi="Times New Roman" w:cs="Times New Roman"/>
          <w:highlight w:val="yellow"/>
        </w:rPr>
        <w:t>(Banco Interamericano de Desarrollo, año, p. 23)</w:t>
      </w:r>
    </w:p>
    <w:p w14:paraId="63B1C643" w14:textId="77777777" w:rsidR="00FD66C4" w:rsidRPr="007F4E9F" w:rsidRDefault="00FD66C4" w:rsidP="000A3157">
      <w:pPr>
        <w:ind w:left="720"/>
        <w:jc w:val="both"/>
        <w:rPr>
          <w:rFonts w:ascii="Times New Roman" w:hAnsi="Times New Roman" w:cs="Times New Roman"/>
        </w:rPr>
      </w:pPr>
    </w:p>
    <w:p w14:paraId="77E8532B" w14:textId="77777777" w:rsidR="00366DE0" w:rsidRPr="007F4E9F" w:rsidRDefault="00366DE0" w:rsidP="0032235A">
      <w:pPr>
        <w:pStyle w:val="Heading2"/>
        <w:jc w:val="both"/>
        <w:rPr>
          <w:rFonts w:ascii="Times New Roman" w:hAnsi="Times New Roman" w:cs="Times New Roman"/>
          <w:sz w:val="22"/>
          <w:szCs w:val="22"/>
        </w:rPr>
      </w:pPr>
      <w:bookmarkStart w:id="14" w:name="_Toc226750181"/>
      <w:r w:rsidRPr="007F4E9F">
        <w:rPr>
          <w:rFonts w:ascii="Times New Roman" w:hAnsi="Times New Roman" w:cs="Times New Roman"/>
          <w:sz w:val="22"/>
          <w:szCs w:val="22"/>
        </w:rPr>
        <w:t>Componente 2. Fortalecimiento de marco regulatorio</w:t>
      </w:r>
      <w:bookmarkEnd w:id="14"/>
      <w:r w:rsidRPr="007F4E9F">
        <w:rPr>
          <w:rFonts w:ascii="Times New Roman" w:hAnsi="Times New Roman" w:cs="Times New Roman"/>
          <w:sz w:val="22"/>
          <w:szCs w:val="22"/>
        </w:rPr>
        <w:t xml:space="preserve"> </w:t>
      </w:r>
    </w:p>
    <w:p w14:paraId="7B6ED1FA" w14:textId="0E560F39" w:rsidR="00366DE0" w:rsidRPr="007F4E9F" w:rsidRDefault="00366DE0" w:rsidP="00FD66C4">
      <w:pPr>
        <w:ind w:left="720"/>
        <w:jc w:val="both"/>
        <w:rPr>
          <w:rFonts w:ascii="Times New Roman" w:hAnsi="Times New Roman" w:cs="Times New Roman"/>
        </w:rPr>
      </w:pPr>
      <w:r w:rsidRPr="007F4E9F">
        <w:rPr>
          <w:rFonts w:ascii="Times New Roman" w:hAnsi="Times New Roman" w:cs="Times New Roman"/>
        </w:rPr>
        <w:t>Este componente t</w:t>
      </w:r>
      <w:r w:rsidR="00685230" w:rsidRPr="007F4E9F">
        <w:rPr>
          <w:rFonts w:ascii="Times New Roman" w:hAnsi="Times New Roman" w:cs="Times New Roman"/>
        </w:rPr>
        <w:t>uvo</w:t>
      </w:r>
      <w:r w:rsidRPr="007F4E9F">
        <w:rPr>
          <w:rFonts w:ascii="Times New Roman" w:hAnsi="Times New Roman" w:cs="Times New Roman"/>
        </w:rPr>
        <w:t xml:space="preserve"> como objetivo fortalecer el marco regulatorio y planes estratégicos en las ciudades beneficiarias en materia de economía circular. Este componente financi</w:t>
      </w:r>
      <w:r w:rsidR="00685230" w:rsidRPr="007F4E9F">
        <w:rPr>
          <w:rFonts w:ascii="Times New Roman" w:hAnsi="Times New Roman" w:cs="Times New Roman"/>
        </w:rPr>
        <w:t>ó</w:t>
      </w:r>
      <w:r w:rsidRPr="007F4E9F">
        <w:rPr>
          <w:rFonts w:ascii="Times New Roman" w:hAnsi="Times New Roman" w:cs="Times New Roman"/>
        </w:rPr>
        <w:t xml:space="preserve"> el desarrollo de un estudio sobre estrategias y propuestas de política pública para las ciudades beneficiarias que promuevan modelos circulares a nivel regional, relacionado con: (a) características económicas, políticas y normativas y ventajas comparativas de las ciudades beneficiarias; (b) identificación de obstáculos y necesidades para mejorar la conexión de los actores de la economía circular entre las cuatro ciudades y el interior de estas; y (c) estrategias para facilitar negocios circulares.</w:t>
      </w:r>
    </w:p>
    <w:p w14:paraId="73417BF4" w14:textId="77777777" w:rsidR="00FD66C4" w:rsidRPr="007F4E9F" w:rsidRDefault="00FD66C4" w:rsidP="00FD66C4">
      <w:pPr>
        <w:rPr>
          <w:rFonts w:ascii="Times New Roman" w:hAnsi="Times New Roman" w:cs="Times New Roman"/>
        </w:rPr>
      </w:pPr>
      <w:r w:rsidRPr="004A3788">
        <w:rPr>
          <w:rFonts w:ascii="Times New Roman" w:hAnsi="Times New Roman" w:cs="Times New Roman"/>
          <w:highlight w:val="yellow"/>
        </w:rPr>
        <w:t>(Banco Interamericano de Desarrollo, año, p. 23)</w:t>
      </w:r>
    </w:p>
    <w:p w14:paraId="7F766B23" w14:textId="77777777" w:rsidR="00FD66C4" w:rsidRPr="007F4E9F" w:rsidRDefault="00FD66C4" w:rsidP="000A3157">
      <w:pPr>
        <w:ind w:left="720"/>
        <w:jc w:val="both"/>
        <w:rPr>
          <w:rFonts w:ascii="Times New Roman" w:hAnsi="Times New Roman" w:cs="Times New Roman"/>
        </w:rPr>
      </w:pPr>
    </w:p>
    <w:p w14:paraId="76658F24" w14:textId="77777777" w:rsidR="00366DE0" w:rsidRPr="007F4E9F" w:rsidRDefault="00366DE0" w:rsidP="0032235A">
      <w:pPr>
        <w:pStyle w:val="Heading2"/>
        <w:jc w:val="both"/>
        <w:rPr>
          <w:rFonts w:ascii="Times New Roman" w:hAnsi="Times New Roman" w:cs="Times New Roman"/>
          <w:sz w:val="22"/>
          <w:szCs w:val="22"/>
        </w:rPr>
      </w:pPr>
      <w:bookmarkStart w:id="15" w:name="_Toc226750182"/>
      <w:r w:rsidRPr="007F4E9F">
        <w:rPr>
          <w:rFonts w:ascii="Times New Roman" w:hAnsi="Times New Roman" w:cs="Times New Roman"/>
          <w:sz w:val="22"/>
          <w:szCs w:val="22"/>
        </w:rPr>
        <w:t>Componente 3. Diseño de una caja de herramientas para el fortalecimiento de la economía circular en el sector privado</w:t>
      </w:r>
      <w:bookmarkEnd w:id="15"/>
      <w:r w:rsidRPr="007F4E9F">
        <w:rPr>
          <w:rFonts w:ascii="Times New Roman" w:hAnsi="Times New Roman" w:cs="Times New Roman"/>
          <w:sz w:val="22"/>
          <w:szCs w:val="22"/>
        </w:rPr>
        <w:t xml:space="preserve"> </w:t>
      </w:r>
    </w:p>
    <w:p w14:paraId="1C41CAFC" w14:textId="369867C4" w:rsidR="00366DE0" w:rsidRPr="007F4E9F" w:rsidRDefault="00366DE0" w:rsidP="00FD66C4">
      <w:pPr>
        <w:ind w:left="720"/>
        <w:jc w:val="both"/>
        <w:rPr>
          <w:rFonts w:ascii="Times New Roman" w:hAnsi="Times New Roman" w:cs="Times New Roman"/>
        </w:rPr>
      </w:pPr>
      <w:r w:rsidRPr="007F4E9F">
        <w:rPr>
          <w:rFonts w:ascii="Times New Roman" w:hAnsi="Times New Roman" w:cs="Times New Roman"/>
        </w:rPr>
        <w:t>Este componente t</w:t>
      </w:r>
      <w:r w:rsidR="00685230" w:rsidRPr="007F4E9F">
        <w:rPr>
          <w:rFonts w:ascii="Times New Roman" w:hAnsi="Times New Roman" w:cs="Times New Roman"/>
        </w:rPr>
        <w:t>uvo</w:t>
      </w:r>
      <w:r w:rsidRPr="007F4E9F">
        <w:rPr>
          <w:rFonts w:ascii="Times New Roman" w:hAnsi="Times New Roman" w:cs="Times New Roman"/>
        </w:rPr>
        <w:t xml:space="preserve"> como objetivo generar capacidades en empresas del sector privado para el fortalecimiento de procesos de economía circular. Este componente financi</w:t>
      </w:r>
      <w:r w:rsidR="00685230" w:rsidRPr="007F4E9F">
        <w:rPr>
          <w:rFonts w:ascii="Times New Roman" w:hAnsi="Times New Roman" w:cs="Times New Roman"/>
        </w:rPr>
        <w:t>ó</w:t>
      </w:r>
      <w:r w:rsidRPr="007F4E9F">
        <w:rPr>
          <w:rFonts w:ascii="Times New Roman" w:hAnsi="Times New Roman" w:cs="Times New Roman"/>
        </w:rPr>
        <w:t>: (a) una guía sobre el desarrollo de modelos de negocio circular desde el sector privado; y (b) una guía sobre el diseño de mecanismos financieros alternativos orientados a impulsar la transición hacia procesos de residuo cero y bajos en carbono, en especial desde el sector público. Esta última incluye la identificación de los mecanismos financieros existentes en las ciudades beneficiarias para impulsar la transición hacia modelos de residuo cero y bajos en carbono y la proposición de mecanismos financieros alternativos, de acuerdo al contexto de cada una de las ciudades beneficiarias, con el objetivo de promover la transición hacia procesos de residuo cero y bajos en carbono.</w:t>
      </w:r>
    </w:p>
    <w:p w14:paraId="5710DAE7" w14:textId="7AC38332" w:rsidR="00FD66C4" w:rsidRPr="007F4E9F" w:rsidRDefault="00FD66C4" w:rsidP="00FD66C4">
      <w:pPr>
        <w:rPr>
          <w:rFonts w:ascii="Times New Roman" w:hAnsi="Times New Roman" w:cs="Times New Roman"/>
        </w:rPr>
      </w:pPr>
      <w:r w:rsidRPr="004A3788">
        <w:rPr>
          <w:rFonts w:ascii="Times New Roman" w:hAnsi="Times New Roman" w:cs="Times New Roman"/>
          <w:highlight w:val="yellow"/>
        </w:rPr>
        <w:t>(Banco Interamericano de Desarrollo, año, p. 24)</w:t>
      </w:r>
    </w:p>
    <w:p w14:paraId="4FA21F74" w14:textId="488170BA" w:rsidR="003270AC" w:rsidRPr="007F4E9F" w:rsidRDefault="002D0A36" w:rsidP="0032235A">
      <w:pPr>
        <w:pStyle w:val="Heading1"/>
        <w:jc w:val="both"/>
        <w:rPr>
          <w:rFonts w:ascii="Times New Roman" w:hAnsi="Times New Roman" w:cs="Times New Roman"/>
          <w:sz w:val="22"/>
          <w:szCs w:val="22"/>
        </w:rPr>
      </w:pPr>
      <w:bookmarkStart w:id="16" w:name="_Toc226750183"/>
      <w:r w:rsidRPr="007F4E9F">
        <w:rPr>
          <w:rFonts w:ascii="Times New Roman" w:hAnsi="Times New Roman" w:cs="Times New Roman"/>
          <w:sz w:val="22"/>
          <w:szCs w:val="22"/>
        </w:rPr>
        <w:t>Enfoque metodológico</w:t>
      </w:r>
      <w:bookmarkEnd w:id="16"/>
    </w:p>
    <w:p w14:paraId="4F8CB6AD" w14:textId="06789377" w:rsidR="006F4A45" w:rsidRPr="007F4E9F" w:rsidRDefault="006F4A45" w:rsidP="006F4A45">
      <w:pPr>
        <w:spacing w:line="240" w:lineRule="auto"/>
        <w:jc w:val="both"/>
        <w:rPr>
          <w:rFonts w:ascii="Times New Roman" w:hAnsi="Times New Roman" w:cs="Times New Roman"/>
        </w:rPr>
      </w:pPr>
      <w:r w:rsidRPr="007F4E9F">
        <w:rPr>
          <w:rFonts w:ascii="Times New Roman" w:hAnsi="Times New Roman" w:cs="Times New Roman"/>
        </w:rPr>
        <w:t xml:space="preserve">El diseño de la matriz de evaluación general por componentes y la estructuración de los instrumentos de recolección de información se fundamentan conceptualmente en los estándares internacionales de evaluación de la cooperación para el desarrollo. Específicamente, la metodología adopta el marco establecido por la Red de Evaluación del Desarrollo (EvalNet) del Comité de Ayuda al Desarrollo (CAD) de la Organización para la Cooperación y el Desarrollo Económicos (OCDE). Se tomó como principal referente teórico la guía “Aplicación minuciosa de los criterios de evaluación”  </w:t>
      </w:r>
      <w:sdt>
        <w:sdtPr>
          <w:rPr>
            <w:rFonts w:ascii="Times New Roman" w:hAnsi="Times New Roman" w:cs="Times New Roman"/>
          </w:rPr>
          <w:id w:val="749925214"/>
          <w:citation/>
        </w:sdtPr>
        <w:sdtContent>
          <w:r w:rsidRPr="007F4E9F">
            <w:rPr>
              <w:rFonts w:ascii="Times New Roman" w:hAnsi="Times New Roman" w:cs="Times New Roman"/>
            </w:rPr>
            <w:fldChar w:fldCharType="begin"/>
          </w:r>
          <w:r w:rsidRPr="007F4E9F">
            <w:rPr>
              <w:rFonts w:ascii="Times New Roman" w:hAnsi="Times New Roman" w:cs="Times New Roman"/>
              <w:lang w:val="es-ES"/>
            </w:rPr>
            <w:instrText xml:space="preserve"> CITATION OCD25 \l 3082 </w:instrText>
          </w:r>
          <w:r w:rsidRPr="007F4E9F">
            <w:rPr>
              <w:rFonts w:ascii="Times New Roman" w:hAnsi="Times New Roman" w:cs="Times New Roman"/>
            </w:rPr>
            <w:fldChar w:fldCharType="separate"/>
          </w:r>
          <w:r w:rsidRPr="007F4E9F">
            <w:rPr>
              <w:rFonts w:ascii="Times New Roman" w:hAnsi="Times New Roman" w:cs="Times New Roman"/>
              <w:noProof/>
              <w:lang w:val="es-ES"/>
            </w:rPr>
            <w:t>(OCDE, 2025)</w:t>
          </w:r>
          <w:r w:rsidRPr="007F4E9F">
            <w:rPr>
              <w:rFonts w:ascii="Times New Roman" w:hAnsi="Times New Roman" w:cs="Times New Roman"/>
            </w:rPr>
            <w:fldChar w:fldCharType="end"/>
          </w:r>
        </w:sdtContent>
      </w:sdt>
      <w:r w:rsidRPr="007F4E9F">
        <w:rPr>
          <w:rFonts w:ascii="Times New Roman" w:hAnsi="Times New Roman" w:cs="Times New Roman"/>
        </w:rPr>
        <w:t>. Este marco metodológico proporciona el rigor necesario para determinar el mérito y el valor de la intervención, garantizando un análisis integral y estandarizado aplicable a programas financiados por organismos multilaterales como el BID.</w:t>
      </w:r>
    </w:p>
    <w:p w14:paraId="5A72F69D" w14:textId="77777777" w:rsidR="006F4A45" w:rsidRPr="007F4E9F" w:rsidRDefault="006F4A45" w:rsidP="006F4A45">
      <w:pPr>
        <w:spacing w:line="240" w:lineRule="auto"/>
        <w:jc w:val="both"/>
        <w:rPr>
          <w:rFonts w:ascii="Times New Roman" w:hAnsi="Times New Roman" w:cs="Times New Roman"/>
        </w:rPr>
      </w:pPr>
      <w:r w:rsidRPr="007F4E9F">
        <w:rPr>
          <w:rFonts w:ascii="Times New Roman" w:hAnsi="Times New Roman" w:cs="Times New Roman"/>
        </w:rPr>
        <w:t>La elección del marco metodológico de la OCDE (2025) se fundamenta en que constituye un estándar internacional riguroso y ampliamente exigido para la evaluación de proyectos financiados por la cooperación multilateral, como es el caso del Banco Interamericano de Desarrollo (BID). Se seleccionó este método porque garantiza un análisis objetivo, estructurado y comparable, permitiendo no solo auditar el cumplimiento administrativo de los hitos, sino comprender el valor real y estratégico generado por la intervención en el ecosistema empresarial.</w:t>
      </w:r>
    </w:p>
    <w:p w14:paraId="2FCF54FF" w14:textId="77777777" w:rsidR="00685230" w:rsidRPr="007F4E9F" w:rsidRDefault="00F90975" w:rsidP="005A5D2C">
      <w:pPr>
        <w:spacing w:line="240" w:lineRule="auto"/>
        <w:jc w:val="both"/>
        <w:rPr>
          <w:rFonts w:ascii="Times New Roman" w:hAnsi="Times New Roman" w:cs="Times New Roman"/>
        </w:rPr>
      </w:pPr>
      <w:commentRangeStart w:id="17"/>
      <w:r w:rsidRPr="007F4E9F">
        <w:rPr>
          <w:rFonts w:ascii="Times New Roman" w:hAnsi="Times New Roman" w:cs="Times New Roman"/>
        </w:rPr>
        <w:t xml:space="preserve">Para la operacionalización de esta teoría, </w:t>
      </w:r>
      <w:r w:rsidR="00685230" w:rsidRPr="007F4E9F">
        <w:rPr>
          <w:rFonts w:ascii="Times New Roman" w:hAnsi="Times New Roman" w:cs="Times New Roman"/>
        </w:rPr>
        <w:t xml:space="preserve">en la evaluación completa </w:t>
      </w:r>
      <w:r w:rsidRPr="007F4E9F">
        <w:rPr>
          <w:rFonts w:ascii="Times New Roman" w:hAnsi="Times New Roman" w:cs="Times New Roman"/>
        </w:rPr>
        <w:t>se aplicar</w:t>
      </w:r>
      <w:r w:rsidR="005A5D2C" w:rsidRPr="007F4E9F">
        <w:rPr>
          <w:rFonts w:ascii="Times New Roman" w:hAnsi="Times New Roman" w:cs="Times New Roman"/>
        </w:rPr>
        <w:t>á</w:t>
      </w:r>
      <w:r w:rsidRPr="007F4E9F">
        <w:rPr>
          <w:rFonts w:ascii="Times New Roman" w:hAnsi="Times New Roman" w:cs="Times New Roman"/>
        </w:rPr>
        <w:t xml:space="preserve">n de manera minuciosa los seis criterios estándar de la OCDE-CAD </w:t>
      </w:r>
      <w:r w:rsidR="006F4A45" w:rsidRPr="007F4E9F">
        <w:rPr>
          <w:rFonts w:ascii="Times New Roman" w:hAnsi="Times New Roman" w:cs="Times New Roman"/>
        </w:rPr>
        <w:t xml:space="preserve"> </w:t>
      </w:r>
      <w:commentRangeEnd w:id="17"/>
      <w:r w:rsidR="004A3788">
        <w:rPr>
          <w:rStyle w:val="CommentReference"/>
          <w:rFonts w:ascii="Times New Roman" w:hAnsi="Times New Roman" w:cs="Times New Roman"/>
          <w:sz w:val="22"/>
          <w:szCs w:val="22"/>
        </w:rPr>
        <w:commentReference w:id="17"/>
      </w:r>
      <w:sdt>
        <w:sdtPr>
          <w:rPr>
            <w:rFonts w:ascii="Times New Roman" w:hAnsi="Times New Roman" w:cs="Times New Roman"/>
          </w:rPr>
          <w:id w:val="-297301673"/>
          <w:citation/>
        </w:sdtPr>
        <w:sdtContent>
          <w:r w:rsidR="006F4A45" w:rsidRPr="007F4E9F">
            <w:rPr>
              <w:rFonts w:ascii="Times New Roman" w:hAnsi="Times New Roman" w:cs="Times New Roman"/>
            </w:rPr>
            <w:fldChar w:fldCharType="begin"/>
          </w:r>
          <w:r w:rsidR="006F4A45" w:rsidRPr="007F4E9F">
            <w:rPr>
              <w:rFonts w:ascii="Times New Roman" w:hAnsi="Times New Roman" w:cs="Times New Roman"/>
              <w:lang w:val="es-ES"/>
            </w:rPr>
            <w:instrText xml:space="preserve"> CITATION OCD25 \l 3082 </w:instrText>
          </w:r>
          <w:r w:rsidR="006F4A45" w:rsidRPr="007F4E9F">
            <w:rPr>
              <w:rFonts w:ascii="Times New Roman" w:hAnsi="Times New Roman" w:cs="Times New Roman"/>
            </w:rPr>
            <w:fldChar w:fldCharType="separate"/>
          </w:r>
          <w:r w:rsidR="006F4A45" w:rsidRPr="007F4E9F">
            <w:rPr>
              <w:rFonts w:ascii="Times New Roman" w:hAnsi="Times New Roman" w:cs="Times New Roman"/>
              <w:noProof/>
              <w:lang w:val="es-ES"/>
            </w:rPr>
            <w:t>(OCDE, 2025)</w:t>
          </w:r>
          <w:r w:rsidR="006F4A45" w:rsidRPr="007F4E9F">
            <w:rPr>
              <w:rFonts w:ascii="Times New Roman" w:hAnsi="Times New Roman" w:cs="Times New Roman"/>
            </w:rPr>
            <w:fldChar w:fldCharType="end"/>
          </w:r>
        </w:sdtContent>
      </w:sdt>
      <w:r w:rsidR="006F4A45" w:rsidRPr="007F4E9F">
        <w:rPr>
          <w:rFonts w:ascii="Times New Roman" w:hAnsi="Times New Roman" w:cs="Times New Roman"/>
        </w:rPr>
        <w:t xml:space="preserve"> </w:t>
      </w:r>
      <w:r w:rsidRPr="007F4E9F">
        <w:rPr>
          <w:rFonts w:ascii="Times New Roman" w:hAnsi="Times New Roman" w:cs="Times New Roman"/>
          <w:b/>
          <w:bCs/>
        </w:rPr>
        <w:t>(Pertinencia, Coherencia, Eficacia/Cumplimiento, Eficiencia, Impacto y Sostenibilidad</w:t>
      </w:r>
      <w:r w:rsidRPr="007F4E9F">
        <w:rPr>
          <w:rFonts w:ascii="Times New Roman" w:hAnsi="Times New Roman" w:cs="Times New Roman"/>
        </w:rPr>
        <w:t xml:space="preserve">), incorporando la </w:t>
      </w:r>
      <w:r w:rsidRPr="007F4E9F">
        <w:rPr>
          <w:rFonts w:ascii="Times New Roman" w:hAnsi="Times New Roman" w:cs="Times New Roman"/>
          <w:b/>
          <w:bCs/>
        </w:rPr>
        <w:t>“Escalabilidad”</w:t>
      </w:r>
      <w:r w:rsidRPr="007F4E9F">
        <w:rPr>
          <w:rFonts w:ascii="Times New Roman" w:hAnsi="Times New Roman" w:cs="Times New Roman"/>
        </w:rPr>
        <w:t xml:space="preserve"> como un séptimo criterio indispensable dada la naturaleza de bien público regional de la plataforma. </w:t>
      </w:r>
    </w:p>
    <w:p w14:paraId="409D72AE" w14:textId="7FEC85A0" w:rsidR="005A5D2C" w:rsidRPr="007F4E9F" w:rsidRDefault="005A5D2C" w:rsidP="005A5D2C">
      <w:pPr>
        <w:spacing w:line="240" w:lineRule="auto"/>
        <w:jc w:val="both"/>
        <w:rPr>
          <w:rFonts w:ascii="Times New Roman" w:hAnsi="Times New Roman" w:cs="Times New Roman"/>
        </w:rPr>
      </w:pPr>
      <w:r w:rsidRPr="007F4E9F">
        <w:rPr>
          <w:rFonts w:ascii="Times New Roman" w:hAnsi="Times New Roman" w:cs="Times New Roman"/>
        </w:rPr>
        <w:t xml:space="preserve">La adaptación operativa de estos criterios consistió en transitar de definiciones normativas internacionales genéricas a una aplicación concreta basada en la realidad tecnológica del proyecto delimitada por el alcance dado a cada criterio en los términos de referencia de la evaluación. Para ello, se realizó un cruce sistemático entre los criterios teóricos y las metas estipuladas tanto en los Términos de Referencia (TdR) del contrato de evaluación </w:t>
      </w:r>
      <w:r w:rsidRPr="007F4E9F">
        <w:rPr>
          <w:rFonts w:ascii="Times New Roman" w:eastAsia="Times New Roman" w:hAnsi="Times New Roman" w:cs="Times New Roman"/>
          <w:b/>
          <w:bCs/>
        </w:rPr>
        <w:t>SDA-BID-06-20251618</w:t>
      </w:r>
      <w:r w:rsidRPr="007F4E9F">
        <w:rPr>
          <w:rFonts w:ascii="Times New Roman" w:hAnsi="Times New Roman" w:cs="Times New Roman"/>
        </w:rPr>
        <w:t xml:space="preserve"> como en el Convenio de cooperación técnica regional y del convenio modificatorio (ATN/OC-19080-RG).</w:t>
      </w:r>
    </w:p>
    <w:p w14:paraId="1C09B3B2" w14:textId="3B3F76F3" w:rsidR="005A5D2C" w:rsidRPr="007F4E9F" w:rsidRDefault="005A5D2C" w:rsidP="005A5D2C">
      <w:pPr>
        <w:spacing w:line="240" w:lineRule="auto"/>
        <w:jc w:val="both"/>
        <w:rPr>
          <w:rFonts w:ascii="Times New Roman" w:hAnsi="Times New Roman" w:cs="Times New Roman"/>
        </w:rPr>
      </w:pPr>
      <w:r w:rsidRPr="007F4E9F">
        <w:rPr>
          <w:rFonts w:ascii="Times New Roman" w:hAnsi="Times New Roman" w:cs="Times New Roman"/>
        </w:rPr>
        <w:t>De esta forma, cada criterio respondió de manera sistemática a su alcance delimitado: por ejemplo, el cumplimiento tuvo en cuenta el nivel de logro de metas e indicadores previstos en el convenio y la revisión de evidencias y productos técnicos entregados. La Sostenibilidad incluyó el análisis de las condiciones institucionales, técnicas y financieras para la continuidad de los logros alcanzados</w:t>
      </w:r>
    </w:p>
    <w:p w14:paraId="4BDDC570" w14:textId="5EB1616B" w:rsidR="007C3533" w:rsidRPr="007F4E9F" w:rsidRDefault="007C3533" w:rsidP="0032235A">
      <w:pPr>
        <w:pStyle w:val="Caption"/>
        <w:keepNext/>
        <w:jc w:val="both"/>
        <w:rPr>
          <w:rFonts w:ascii="Times New Roman" w:hAnsi="Times New Roman" w:cs="Times New Roman"/>
          <w:sz w:val="22"/>
          <w:szCs w:val="22"/>
        </w:rPr>
      </w:pPr>
      <w:bookmarkStart w:id="18" w:name="_Toc225848227"/>
      <w:bookmarkStart w:id="19" w:name="_Hlk223882366"/>
      <w:bookmarkStart w:id="20" w:name="_Hlk224119376"/>
      <w:r w:rsidRPr="007F4E9F">
        <w:rPr>
          <w:rFonts w:ascii="Times New Roman" w:hAnsi="Times New Roman" w:cs="Times New Roman"/>
          <w:sz w:val="22"/>
          <w:szCs w:val="22"/>
        </w:rPr>
        <w:t xml:space="preserve">Tabla </w:t>
      </w:r>
      <w:r w:rsidRPr="007F4E9F">
        <w:rPr>
          <w:rFonts w:ascii="Times New Roman" w:hAnsi="Times New Roman" w:cs="Times New Roman"/>
          <w:sz w:val="22"/>
          <w:szCs w:val="22"/>
        </w:rPr>
        <w:fldChar w:fldCharType="begin"/>
      </w:r>
      <w:r w:rsidRPr="007F4E9F">
        <w:rPr>
          <w:rFonts w:ascii="Times New Roman" w:hAnsi="Times New Roman" w:cs="Times New Roman"/>
          <w:sz w:val="22"/>
          <w:szCs w:val="22"/>
        </w:rPr>
        <w:instrText xml:space="preserve"> SEQ Tabla \* ARABIC </w:instrText>
      </w:r>
      <w:r w:rsidRPr="007F4E9F">
        <w:rPr>
          <w:rFonts w:ascii="Times New Roman" w:hAnsi="Times New Roman" w:cs="Times New Roman"/>
          <w:sz w:val="22"/>
          <w:szCs w:val="22"/>
        </w:rPr>
        <w:fldChar w:fldCharType="separate"/>
      </w:r>
      <w:r w:rsidR="00CB1A80" w:rsidRPr="007F4E9F">
        <w:rPr>
          <w:rFonts w:ascii="Times New Roman" w:hAnsi="Times New Roman" w:cs="Times New Roman"/>
          <w:noProof/>
          <w:sz w:val="22"/>
          <w:szCs w:val="22"/>
        </w:rPr>
        <w:t>1</w:t>
      </w:r>
      <w:r w:rsidRPr="007F4E9F">
        <w:rPr>
          <w:rFonts w:ascii="Times New Roman" w:hAnsi="Times New Roman" w:cs="Times New Roman"/>
          <w:sz w:val="22"/>
          <w:szCs w:val="22"/>
        </w:rPr>
        <w:fldChar w:fldCharType="end"/>
      </w:r>
      <w:r w:rsidRPr="007F4E9F">
        <w:rPr>
          <w:rFonts w:ascii="Times New Roman" w:hAnsi="Times New Roman" w:cs="Times New Roman"/>
          <w:sz w:val="22"/>
          <w:szCs w:val="22"/>
        </w:rPr>
        <w:t xml:space="preserve"> </w:t>
      </w:r>
      <w:r w:rsidRPr="007F4E9F">
        <w:rPr>
          <w:rFonts w:ascii="Times New Roman" w:hAnsi="Times New Roman" w:cs="Times New Roman"/>
          <w:i/>
          <w:iCs/>
          <w:sz w:val="22"/>
          <w:szCs w:val="22"/>
        </w:rPr>
        <w:t>Criterios aplicados metodología OCDE-</w:t>
      </w:r>
      <w:commentRangeStart w:id="21"/>
      <w:r w:rsidRPr="007F4E9F">
        <w:rPr>
          <w:rFonts w:ascii="Times New Roman" w:hAnsi="Times New Roman" w:cs="Times New Roman"/>
          <w:i/>
          <w:iCs/>
          <w:sz w:val="22"/>
          <w:szCs w:val="22"/>
        </w:rPr>
        <w:t>CAD</w:t>
      </w:r>
      <w:bookmarkEnd w:id="18"/>
      <w:commentRangeEnd w:id="21"/>
      <w:r w:rsidR="004A3788" w:rsidRPr="007F4E9F">
        <w:rPr>
          <w:rStyle w:val="CommentReference"/>
          <w:rFonts w:ascii="Times New Roman" w:hAnsi="Times New Roman" w:cs="Times New Roman"/>
          <w:sz w:val="22"/>
          <w:szCs w:val="22"/>
        </w:rPr>
        <w:commentReference w:id="21"/>
      </w:r>
    </w:p>
    <w:tbl>
      <w:tblPr>
        <w:tblStyle w:val="TableGrid"/>
        <w:tblW w:w="0" w:type="auto"/>
        <w:tblInd w:w="38" w:type="dxa"/>
        <w:tblLook w:val="04A0" w:firstRow="1" w:lastRow="0" w:firstColumn="1" w:lastColumn="0" w:noHBand="0" w:noVBand="1"/>
      </w:tblPr>
      <w:tblGrid>
        <w:gridCol w:w="1999"/>
        <w:gridCol w:w="3856"/>
        <w:gridCol w:w="2737"/>
      </w:tblGrid>
      <w:tr w:rsidR="00A72EF0" w:rsidRPr="007F4E9F" w14:paraId="21BC08D8" w14:textId="7CF43927" w:rsidTr="00A72EF0">
        <w:tc>
          <w:tcPr>
            <w:tcW w:w="1999" w:type="dxa"/>
            <w:vAlign w:val="center"/>
          </w:tcPr>
          <w:p w14:paraId="48B83412" w14:textId="77777777" w:rsidR="00A72EF0" w:rsidRPr="007F4E9F" w:rsidRDefault="00A72EF0" w:rsidP="0032235A">
            <w:pPr>
              <w:jc w:val="both"/>
              <w:rPr>
                <w:rFonts w:ascii="Times New Roman" w:hAnsi="Times New Roman" w:cs="Times New Roman"/>
                <w:b/>
                <w:bCs/>
              </w:rPr>
            </w:pPr>
            <w:r w:rsidRPr="007F4E9F">
              <w:rPr>
                <w:rFonts w:ascii="Times New Roman" w:hAnsi="Times New Roman" w:cs="Times New Roman"/>
                <w:b/>
                <w:bCs/>
              </w:rPr>
              <w:t xml:space="preserve">Dimensión </w:t>
            </w:r>
          </w:p>
        </w:tc>
        <w:tc>
          <w:tcPr>
            <w:tcW w:w="3856" w:type="dxa"/>
            <w:vAlign w:val="center"/>
          </w:tcPr>
          <w:p w14:paraId="5DB27193" w14:textId="77777777" w:rsidR="00A72EF0" w:rsidRPr="007F4E9F" w:rsidRDefault="00A72EF0" w:rsidP="0032235A">
            <w:pPr>
              <w:jc w:val="both"/>
              <w:rPr>
                <w:rFonts w:ascii="Times New Roman" w:hAnsi="Times New Roman" w:cs="Times New Roman"/>
                <w:b/>
                <w:bCs/>
              </w:rPr>
            </w:pPr>
            <w:r w:rsidRPr="007F4E9F">
              <w:rPr>
                <w:rFonts w:ascii="Times New Roman" w:hAnsi="Times New Roman" w:cs="Times New Roman"/>
                <w:b/>
                <w:bCs/>
              </w:rPr>
              <w:t>Alcance</w:t>
            </w:r>
          </w:p>
        </w:tc>
        <w:tc>
          <w:tcPr>
            <w:tcW w:w="2737" w:type="dxa"/>
            <w:vAlign w:val="center"/>
          </w:tcPr>
          <w:p w14:paraId="40419790" w14:textId="682CFB3D" w:rsidR="00A72EF0" w:rsidRPr="007F4E9F" w:rsidRDefault="00A72EF0" w:rsidP="0032235A">
            <w:pPr>
              <w:jc w:val="both"/>
              <w:rPr>
                <w:rFonts w:ascii="Times New Roman" w:hAnsi="Times New Roman" w:cs="Times New Roman"/>
                <w:b/>
                <w:bCs/>
              </w:rPr>
            </w:pPr>
            <w:r w:rsidRPr="007F4E9F">
              <w:rPr>
                <w:rFonts w:ascii="Times New Roman" w:hAnsi="Times New Roman" w:cs="Times New Roman"/>
                <w:b/>
                <w:bCs/>
              </w:rPr>
              <w:t>Pregunta orientadora</w:t>
            </w:r>
          </w:p>
        </w:tc>
      </w:tr>
      <w:tr w:rsidR="00A72EF0" w:rsidRPr="007F4E9F" w14:paraId="61D55E0A" w14:textId="2F6035AC" w:rsidTr="00A72EF0">
        <w:tc>
          <w:tcPr>
            <w:tcW w:w="1999" w:type="dxa"/>
            <w:vAlign w:val="center"/>
          </w:tcPr>
          <w:p w14:paraId="0C4D6D3F" w14:textId="7786573C" w:rsidR="00A72EF0" w:rsidRPr="007F4E9F" w:rsidRDefault="00A72EF0" w:rsidP="0032235A">
            <w:pPr>
              <w:jc w:val="both"/>
              <w:rPr>
                <w:rFonts w:ascii="Times New Roman" w:hAnsi="Times New Roman" w:cs="Times New Roman"/>
              </w:rPr>
            </w:pPr>
            <w:r w:rsidRPr="007F4E9F">
              <w:rPr>
                <w:rFonts w:ascii="Times New Roman" w:hAnsi="Times New Roman" w:cs="Times New Roman"/>
              </w:rPr>
              <w:t xml:space="preserve">1 </w:t>
            </w:r>
            <w:r w:rsidR="00414A42" w:rsidRPr="007F4E9F">
              <w:rPr>
                <w:rFonts w:ascii="Times New Roman" w:hAnsi="Times New Roman" w:cs="Times New Roman"/>
              </w:rPr>
              <w:t>Pertinencia</w:t>
            </w:r>
            <w:r w:rsidRPr="007F4E9F">
              <w:rPr>
                <w:rFonts w:ascii="Times New Roman" w:hAnsi="Times New Roman" w:cs="Times New Roman"/>
              </w:rPr>
              <w:t xml:space="preserve"> de las acciones desarrolladas </w:t>
            </w:r>
          </w:p>
        </w:tc>
        <w:tc>
          <w:tcPr>
            <w:tcW w:w="3856" w:type="dxa"/>
            <w:vAlign w:val="center"/>
          </w:tcPr>
          <w:p w14:paraId="0E2F9D1F" w14:textId="2C630FBB" w:rsidR="00A72EF0" w:rsidRPr="007F4E9F" w:rsidRDefault="00A72EF0" w:rsidP="005C3660">
            <w:pPr>
              <w:pStyle w:val="ListParagraph"/>
              <w:numPr>
                <w:ilvl w:val="0"/>
                <w:numId w:val="14"/>
              </w:numPr>
              <w:jc w:val="both"/>
              <w:rPr>
                <w:rFonts w:ascii="Times New Roman" w:hAnsi="Times New Roman" w:cs="Times New Roman"/>
              </w:rPr>
            </w:pPr>
            <w:r w:rsidRPr="007F4E9F">
              <w:rPr>
                <w:rFonts w:ascii="Times New Roman" w:hAnsi="Times New Roman" w:cs="Times New Roman"/>
              </w:rPr>
              <w:t xml:space="preserve">Adecuación de la intervención a los contextos urbanos y sectoriales de cada ciudad. </w:t>
            </w:r>
          </w:p>
          <w:p w14:paraId="1164C48F" w14:textId="329919E9" w:rsidR="00A72EF0" w:rsidRPr="007F4E9F" w:rsidRDefault="00A72EF0" w:rsidP="005C3660">
            <w:pPr>
              <w:pStyle w:val="ListParagraph"/>
              <w:numPr>
                <w:ilvl w:val="0"/>
                <w:numId w:val="14"/>
              </w:numPr>
              <w:jc w:val="both"/>
              <w:rPr>
                <w:rFonts w:ascii="Times New Roman" w:hAnsi="Times New Roman" w:cs="Times New Roman"/>
                <w:b/>
                <w:bCs/>
              </w:rPr>
            </w:pPr>
            <w:r w:rsidRPr="007F4E9F">
              <w:rPr>
                <w:rFonts w:ascii="Times New Roman" w:hAnsi="Times New Roman" w:cs="Times New Roman"/>
              </w:rPr>
              <w:t>Relevancia frente a las prioridades locales y regionales de sostenibilidad.</w:t>
            </w:r>
          </w:p>
        </w:tc>
        <w:tc>
          <w:tcPr>
            <w:tcW w:w="2737" w:type="dxa"/>
            <w:vAlign w:val="center"/>
          </w:tcPr>
          <w:p w14:paraId="18F7D078" w14:textId="20AF2FD9" w:rsidR="00A72EF0" w:rsidRPr="007F4E9F" w:rsidRDefault="00A72EF0" w:rsidP="0032235A">
            <w:pPr>
              <w:jc w:val="both"/>
              <w:rPr>
                <w:rFonts w:ascii="Times New Roman" w:hAnsi="Times New Roman" w:cs="Times New Roman"/>
              </w:rPr>
            </w:pPr>
            <w:r w:rsidRPr="007F4E9F">
              <w:rPr>
                <w:rFonts w:ascii="Times New Roman" w:hAnsi="Times New Roman" w:cs="Times New Roman"/>
              </w:rPr>
              <w:t>¿La intervención fue adecuada para el contexto y las necesidades identificadas?</w:t>
            </w:r>
          </w:p>
        </w:tc>
      </w:tr>
      <w:tr w:rsidR="00A72EF0" w:rsidRPr="007F4E9F" w14:paraId="40BD89B9" w14:textId="76053BEB" w:rsidTr="00A72EF0">
        <w:tc>
          <w:tcPr>
            <w:tcW w:w="1999" w:type="dxa"/>
            <w:vAlign w:val="center"/>
          </w:tcPr>
          <w:p w14:paraId="3B7027E2" w14:textId="77777777" w:rsidR="00A72EF0" w:rsidRPr="007F4E9F" w:rsidRDefault="00A72EF0" w:rsidP="0032235A">
            <w:pPr>
              <w:jc w:val="both"/>
              <w:rPr>
                <w:rFonts w:ascii="Times New Roman" w:hAnsi="Times New Roman" w:cs="Times New Roman"/>
              </w:rPr>
            </w:pPr>
            <w:r w:rsidRPr="007F4E9F">
              <w:rPr>
                <w:rFonts w:ascii="Times New Roman" w:hAnsi="Times New Roman" w:cs="Times New Roman"/>
              </w:rPr>
              <w:t xml:space="preserve">2. Coherencia de la intervención </w:t>
            </w:r>
          </w:p>
          <w:p w14:paraId="2E418E91" w14:textId="77777777" w:rsidR="00A72EF0" w:rsidRPr="007F4E9F" w:rsidRDefault="00A72EF0" w:rsidP="0032235A">
            <w:pPr>
              <w:jc w:val="both"/>
              <w:rPr>
                <w:rFonts w:ascii="Times New Roman" w:hAnsi="Times New Roman" w:cs="Times New Roman"/>
              </w:rPr>
            </w:pPr>
          </w:p>
        </w:tc>
        <w:tc>
          <w:tcPr>
            <w:tcW w:w="3856" w:type="dxa"/>
            <w:vAlign w:val="center"/>
          </w:tcPr>
          <w:p w14:paraId="58B6C9D7" w14:textId="1BA30071" w:rsidR="00A72EF0" w:rsidRPr="007F4E9F" w:rsidRDefault="00A72EF0" w:rsidP="005C3660">
            <w:pPr>
              <w:pStyle w:val="ListParagraph"/>
              <w:numPr>
                <w:ilvl w:val="0"/>
                <w:numId w:val="15"/>
              </w:numPr>
              <w:jc w:val="both"/>
              <w:rPr>
                <w:rFonts w:ascii="Times New Roman" w:hAnsi="Times New Roman" w:cs="Times New Roman"/>
              </w:rPr>
            </w:pPr>
            <w:r w:rsidRPr="007F4E9F">
              <w:rPr>
                <w:rFonts w:ascii="Times New Roman" w:hAnsi="Times New Roman" w:cs="Times New Roman"/>
              </w:rPr>
              <w:t xml:space="preserve">Evaluación del alineamiento entre los objetivos, actividades, productos y resultados. </w:t>
            </w:r>
          </w:p>
          <w:p w14:paraId="2407225A" w14:textId="6641F753" w:rsidR="00A72EF0" w:rsidRPr="007F4E9F" w:rsidRDefault="00A72EF0" w:rsidP="005C3660">
            <w:pPr>
              <w:pStyle w:val="ListParagraph"/>
              <w:numPr>
                <w:ilvl w:val="0"/>
                <w:numId w:val="15"/>
              </w:numPr>
              <w:jc w:val="both"/>
              <w:rPr>
                <w:rFonts w:ascii="Times New Roman" w:hAnsi="Times New Roman" w:cs="Times New Roman"/>
                <w:b/>
                <w:bCs/>
              </w:rPr>
            </w:pPr>
            <w:r w:rsidRPr="007F4E9F">
              <w:rPr>
                <w:rFonts w:ascii="Times New Roman" w:hAnsi="Times New Roman" w:cs="Times New Roman"/>
              </w:rPr>
              <w:t>Articulación entre los componentes y actores institucionales.</w:t>
            </w:r>
          </w:p>
        </w:tc>
        <w:tc>
          <w:tcPr>
            <w:tcW w:w="2737" w:type="dxa"/>
            <w:vAlign w:val="center"/>
          </w:tcPr>
          <w:p w14:paraId="41D8ACA5" w14:textId="4E0DD03D" w:rsidR="00A72EF0" w:rsidRPr="007F4E9F" w:rsidRDefault="00A72EF0" w:rsidP="0032235A">
            <w:pPr>
              <w:jc w:val="both"/>
              <w:rPr>
                <w:rFonts w:ascii="Times New Roman" w:hAnsi="Times New Roman" w:cs="Times New Roman"/>
              </w:rPr>
            </w:pPr>
            <w:r w:rsidRPr="007F4E9F">
              <w:rPr>
                <w:rFonts w:ascii="Times New Roman" w:hAnsi="Times New Roman" w:cs="Times New Roman"/>
              </w:rPr>
              <w:t>¿La intervención es consistente y complementaria con otras iniciativas y políticas?</w:t>
            </w:r>
          </w:p>
        </w:tc>
      </w:tr>
      <w:tr w:rsidR="00A72EF0" w:rsidRPr="007F4E9F" w14:paraId="6CA2CE90" w14:textId="3063FC9A" w:rsidTr="00A72EF0">
        <w:tc>
          <w:tcPr>
            <w:tcW w:w="1999" w:type="dxa"/>
            <w:vAlign w:val="center"/>
          </w:tcPr>
          <w:p w14:paraId="7F15638B" w14:textId="21EFAF4E" w:rsidR="00A72EF0" w:rsidRPr="007F4E9F" w:rsidRDefault="00A72EF0" w:rsidP="0032235A">
            <w:pPr>
              <w:jc w:val="both"/>
              <w:rPr>
                <w:rFonts w:ascii="Times New Roman" w:hAnsi="Times New Roman" w:cs="Times New Roman"/>
              </w:rPr>
            </w:pPr>
            <w:r w:rsidRPr="007F4E9F">
              <w:rPr>
                <w:rFonts w:ascii="Times New Roman" w:hAnsi="Times New Roman" w:cs="Times New Roman"/>
              </w:rPr>
              <w:t xml:space="preserve">3. Cumplimiento de objetivos y resultados </w:t>
            </w:r>
            <w:r w:rsidR="00414A42" w:rsidRPr="007F4E9F">
              <w:rPr>
                <w:rFonts w:ascii="Times New Roman" w:hAnsi="Times New Roman" w:cs="Times New Roman"/>
              </w:rPr>
              <w:t>e</w:t>
            </w:r>
            <w:r w:rsidRPr="007F4E9F">
              <w:rPr>
                <w:rFonts w:ascii="Times New Roman" w:hAnsi="Times New Roman" w:cs="Times New Roman"/>
              </w:rPr>
              <w:t>sperados</w:t>
            </w:r>
          </w:p>
        </w:tc>
        <w:tc>
          <w:tcPr>
            <w:tcW w:w="3856" w:type="dxa"/>
            <w:vAlign w:val="center"/>
          </w:tcPr>
          <w:p w14:paraId="775169C8" w14:textId="53C3ECE7" w:rsidR="00A72EF0" w:rsidRPr="007F4E9F" w:rsidRDefault="00A72EF0" w:rsidP="005C3660">
            <w:pPr>
              <w:pStyle w:val="ListParagraph"/>
              <w:numPr>
                <w:ilvl w:val="0"/>
                <w:numId w:val="16"/>
              </w:numPr>
              <w:jc w:val="both"/>
              <w:rPr>
                <w:rFonts w:ascii="Times New Roman" w:hAnsi="Times New Roman" w:cs="Times New Roman"/>
              </w:rPr>
            </w:pPr>
            <w:r w:rsidRPr="007F4E9F">
              <w:rPr>
                <w:rFonts w:ascii="Times New Roman" w:hAnsi="Times New Roman" w:cs="Times New Roman"/>
              </w:rPr>
              <w:t xml:space="preserve">Nivel de logro de metas e indicadores previstos en el convenio. </w:t>
            </w:r>
          </w:p>
          <w:p w14:paraId="7298D7FC" w14:textId="3BD1D42A" w:rsidR="00A72EF0" w:rsidRPr="007F4E9F" w:rsidRDefault="00A72EF0" w:rsidP="005C3660">
            <w:pPr>
              <w:pStyle w:val="ListParagraph"/>
              <w:numPr>
                <w:ilvl w:val="0"/>
                <w:numId w:val="16"/>
              </w:numPr>
              <w:jc w:val="both"/>
              <w:rPr>
                <w:rFonts w:ascii="Times New Roman" w:hAnsi="Times New Roman" w:cs="Times New Roman"/>
              </w:rPr>
            </w:pPr>
            <w:r w:rsidRPr="007F4E9F">
              <w:rPr>
                <w:rFonts w:ascii="Times New Roman" w:hAnsi="Times New Roman" w:cs="Times New Roman"/>
              </w:rPr>
              <w:t>Revisión de evidencias y productos técnicos entregados.</w:t>
            </w:r>
          </w:p>
        </w:tc>
        <w:tc>
          <w:tcPr>
            <w:tcW w:w="2737" w:type="dxa"/>
            <w:vAlign w:val="center"/>
          </w:tcPr>
          <w:p w14:paraId="06DE5E70" w14:textId="4066C502" w:rsidR="00A72EF0" w:rsidRPr="007F4E9F" w:rsidRDefault="00A72EF0" w:rsidP="0032235A">
            <w:pPr>
              <w:jc w:val="both"/>
              <w:rPr>
                <w:rFonts w:ascii="Times New Roman" w:hAnsi="Times New Roman" w:cs="Times New Roman"/>
              </w:rPr>
            </w:pPr>
            <w:r w:rsidRPr="007F4E9F">
              <w:rPr>
                <w:rFonts w:ascii="Times New Roman" w:hAnsi="Times New Roman" w:cs="Times New Roman"/>
              </w:rPr>
              <w:t>¿La intervención logró los resultados previstos?</w:t>
            </w:r>
          </w:p>
        </w:tc>
      </w:tr>
      <w:tr w:rsidR="00A72EF0" w:rsidRPr="007F4E9F" w14:paraId="77B348A0" w14:textId="1BD9B4E6" w:rsidTr="00A72EF0">
        <w:tc>
          <w:tcPr>
            <w:tcW w:w="1999" w:type="dxa"/>
            <w:vAlign w:val="center"/>
          </w:tcPr>
          <w:p w14:paraId="73028D05" w14:textId="104B6B58" w:rsidR="00A72EF0" w:rsidRPr="007F4E9F" w:rsidRDefault="00A72EF0" w:rsidP="0032235A">
            <w:pPr>
              <w:jc w:val="both"/>
              <w:rPr>
                <w:rFonts w:ascii="Times New Roman" w:hAnsi="Times New Roman" w:cs="Times New Roman"/>
              </w:rPr>
            </w:pPr>
            <w:r w:rsidRPr="007F4E9F">
              <w:rPr>
                <w:rFonts w:ascii="Times New Roman" w:hAnsi="Times New Roman" w:cs="Times New Roman"/>
              </w:rPr>
              <w:t>4. Eficiencia</w:t>
            </w:r>
          </w:p>
        </w:tc>
        <w:tc>
          <w:tcPr>
            <w:tcW w:w="3856" w:type="dxa"/>
            <w:vAlign w:val="center"/>
          </w:tcPr>
          <w:p w14:paraId="5B416B03" w14:textId="14F0A771" w:rsidR="00A72EF0" w:rsidRPr="007F4E9F" w:rsidRDefault="00A72EF0" w:rsidP="005C3660">
            <w:pPr>
              <w:pStyle w:val="ListParagraph"/>
              <w:numPr>
                <w:ilvl w:val="0"/>
                <w:numId w:val="17"/>
              </w:numPr>
              <w:jc w:val="both"/>
              <w:rPr>
                <w:rFonts w:ascii="Times New Roman" w:hAnsi="Times New Roman" w:cs="Times New Roman"/>
              </w:rPr>
            </w:pPr>
            <w:r w:rsidRPr="007F4E9F">
              <w:rPr>
                <w:rFonts w:ascii="Times New Roman" w:hAnsi="Times New Roman" w:cs="Times New Roman"/>
              </w:rPr>
              <w:t>Relación entre los recursos utilizados y los resultados alcanzados.</w:t>
            </w:r>
          </w:p>
        </w:tc>
        <w:tc>
          <w:tcPr>
            <w:tcW w:w="2737" w:type="dxa"/>
            <w:vAlign w:val="center"/>
          </w:tcPr>
          <w:p w14:paraId="09FD969A" w14:textId="084C7F97" w:rsidR="00A72EF0" w:rsidRPr="007F4E9F" w:rsidRDefault="00A72EF0" w:rsidP="0032235A">
            <w:pPr>
              <w:pStyle w:val="ListParagraph"/>
              <w:ind w:left="0"/>
              <w:jc w:val="both"/>
              <w:rPr>
                <w:rFonts w:ascii="Times New Roman" w:hAnsi="Times New Roman" w:cs="Times New Roman"/>
              </w:rPr>
            </w:pPr>
            <w:r w:rsidRPr="007F4E9F">
              <w:rPr>
                <w:rFonts w:ascii="Times New Roman" w:hAnsi="Times New Roman" w:cs="Times New Roman"/>
              </w:rPr>
              <w:t>¿Los resultados se lograron con un uso adecuado de los recursos disponibles?</w:t>
            </w:r>
          </w:p>
        </w:tc>
      </w:tr>
      <w:tr w:rsidR="00A72EF0" w:rsidRPr="007F4E9F" w14:paraId="0DF08E39" w14:textId="60874A84" w:rsidTr="00A72EF0">
        <w:tc>
          <w:tcPr>
            <w:tcW w:w="1999" w:type="dxa"/>
            <w:vAlign w:val="center"/>
          </w:tcPr>
          <w:p w14:paraId="33F6099A" w14:textId="4D523F53" w:rsidR="00A72EF0" w:rsidRPr="007F4E9F" w:rsidRDefault="00A72EF0" w:rsidP="0032235A">
            <w:pPr>
              <w:jc w:val="both"/>
              <w:rPr>
                <w:rFonts w:ascii="Times New Roman" w:hAnsi="Times New Roman" w:cs="Times New Roman"/>
              </w:rPr>
            </w:pPr>
            <w:r w:rsidRPr="007F4E9F">
              <w:rPr>
                <w:rFonts w:ascii="Times New Roman" w:hAnsi="Times New Roman" w:cs="Times New Roman"/>
              </w:rPr>
              <w:t>5. Impacto</w:t>
            </w:r>
          </w:p>
        </w:tc>
        <w:tc>
          <w:tcPr>
            <w:tcW w:w="3856" w:type="dxa"/>
            <w:vAlign w:val="center"/>
          </w:tcPr>
          <w:p w14:paraId="7357E4C7" w14:textId="300CBDAE" w:rsidR="00A72EF0" w:rsidRPr="007F4E9F" w:rsidRDefault="00A72EF0" w:rsidP="005C3660">
            <w:pPr>
              <w:pStyle w:val="ListParagraph"/>
              <w:numPr>
                <w:ilvl w:val="0"/>
                <w:numId w:val="17"/>
              </w:numPr>
              <w:jc w:val="both"/>
              <w:rPr>
                <w:rFonts w:ascii="Times New Roman" w:hAnsi="Times New Roman" w:cs="Times New Roman"/>
              </w:rPr>
            </w:pPr>
            <w:r w:rsidRPr="007F4E9F">
              <w:rPr>
                <w:rFonts w:ascii="Times New Roman" w:hAnsi="Times New Roman" w:cs="Times New Roman"/>
              </w:rPr>
              <w:t>Efectos significativos, positivos o negativos, previstos o no previstos, generados por la intervención.</w:t>
            </w:r>
          </w:p>
        </w:tc>
        <w:tc>
          <w:tcPr>
            <w:tcW w:w="2737" w:type="dxa"/>
            <w:vAlign w:val="center"/>
          </w:tcPr>
          <w:p w14:paraId="4142891D" w14:textId="3EED4462" w:rsidR="00A72EF0" w:rsidRPr="007F4E9F" w:rsidRDefault="00A72EF0" w:rsidP="0032235A">
            <w:pPr>
              <w:pStyle w:val="ListParagraph"/>
              <w:ind w:left="0"/>
              <w:jc w:val="both"/>
              <w:rPr>
                <w:rFonts w:ascii="Times New Roman" w:hAnsi="Times New Roman" w:cs="Times New Roman"/>
              </w:rPr>
            </w:pPr>
            <w:r w:rsidRPr="007F4E9F">
              <w:rPr>
                <w:rFonts w:ascii="Times New Roman" w:hAnsi="Times New Roman" w:cs="Times New Roman"/>
              </w:rPr>
              <w:t>¿Qué cambios más amplios produjo la intervención?</w:t>
            </w:r>
          </w:p>
        </w:tc>
      </w:tr>
      <w:tr w:rsidR="00A72EF0" w:rsidRPr="007F4E9F" w14:paraId="67CD5141" w14:textId="3092EB3D" w:rsidTr="00A72EF0">
        <w:tc>
          <w:tcPr>
            <w:tcW w:w="1999" w:type="dxa"/>
            <w:vAlign w:val="center"/>
          </w:tcPr>
          <w:p w14:paraId="608CDD53" w14:textId="64A23A1E" w:rsidR="00A72EF0" w:rsidRPr="007F4E9F" w:rsidRDefault="00A72EF0" w:rsidP="0032235A">
            <w:pPr>
              <w:pStyle w:val="ListParagraph"/>
              <w:ind w:left="0"/>
              <w:jc w:val="both"/>
              <w:rPr>
                <w:rFonts w:ascii="Times New Roman" w:hAnsi="Times New Roman" w:cs="Times New Roman"/>
              </w:rPr>
            </w:pPr>
            <w:r w:rsidRPr="007F4E9F">
              <w:rPr>
                <w:rFonts w:ascii="Times New Roman" w:hAnsi="Times New Roman" w:cs="Times New Roman"/>
              </w:rPr>
              <w:t xml:space="preserve">6. Sostenibilidad de los resultados </w:t>
            </w:r>
          </w:p>
          <w:p w14:paraId="171390F9" w14:textId="77777777" w:rsidR="00A72EF0" w:rsidRPr="007F4E9F" w:rsidRDefault="00A72EF0" w:rsidP="0032235A">
            <w:pPr>
              <w:jc w:val="both"/>
              <w:rPr>
                <w:rFonts w:ascii="Times New Roman" w:hAnsi="Times New Roman" w:cs="Times New Roman"/>
              </w:rPr>
            </w:pPr>
          </w:p>
        </w:tc>
        <w:tc>
          <w:tcPr>
            <w:tcW w:w="3856" w:type="dxa"/>
            <w:vAlign w:val="center"/>
          </w:tcPr>
          <w:p w14:paraId="64AD4F6F" w14:textId="623A1289" w:rsidR="00A72EF0" w:rsidRPr="007F4E9F" w:rsidRDefault="00A72EF0" w:rsidP="005C3660">
            <w:pPr>
              <w:pStyle w:val="ListParagraph"/>
              <w:numPr>
                <w:ilvl w:val="0"/>
                <w:numId w:val="17"/>
              </w:numPr>
              <w:jc w:val="both"/>
              <w:rPr>
                <w:rFonts w:ascii="Times New Roman" w:hAnsi="Times New Roman" w:cs="Times New Roman"/>
              </w:rPr>
            </w:pPr>
            <w:r w:rsidRPr="007F4E9F">
              <w:rPr>
                <w:rFonts w:ascii="Times New Roman" w:hAnsi="Times New Roman" w:cs="Times New Roman"/>
              </w:rPr>
              <w:t>Análisis de las condiciones institucionales, técnicas y financieras para la continuidad de los logros alcanzados.</w:t>
            </w:r>
          </w:p>
        </w:tc>
        <w:tc>
          <w:tcPr>
            <w:tcW w:w="2737" w:type="dxa"/>
            <w:vAlign w:val="center"/>
          </w:tcPr>
          <w:p w14:paraId="0F574480" w14:textId="5CB1E3C9" w:rsidR="00A72EF0" w:rsidRPr="007F4E9F" w:rsidRDefault="00A72EF0" w:rsidP="0032235A">
            <w:pPr>
              <w:jc w:val="both"/>
              <w:rPr>
                <w:rFonts w:ascii="Times New Roman" w:hAnsi="Times New Roman" w:cs="Times New Roman"/>
              </w:rPr>
            </w:pPr>
            <w:r w:rsidRPr="007F4E9F">
              <w:rPr>
                <w:rFonts w:ascii="Times New Roman" w:hAnsi="Times New Roman" w:cs="Times New Roman"/>
              </w:rPr>
              <w:t>¿Los resultados se mantendrán en el tiempo?</w:t>
            </w:r>
          </w:p>
        </w:tc>
      </w:tr>
      <w:tr w:rsidR="00A72EF0" w:rsidRPr="007F4E9F" w14:paraId="1EF07EE2" w14:textId="21EBA4F7" w:rsidTr="00A72EF0">
        <w:tc>
          <w:tcPr>
            <w:tcW w:w="1999" w:type="dxa"/>
            <w:vAlign w:val="center"/>
          </w:tcPr>
          <w:p w14:paraId="4AB31516" w14:textId="12641E93" w:rsidR="00A72EF0" w:rsidRPr="007F4E9F" w:rsidRDefault="00A72EF0" w:rsidP="0032235A">
            <w:pPr>
              <w:pStyle w:val="ListParagraph"/>
              <w:ind w:left="0"/>
              <w:jc w:val="both"/>
              <w:rPr>
                <w:rFonts w:ascii="Times New Roman" w:hAnsi="Times New Roman" w:cs="Times New Roman"/>
              </w:rPr>
            </w:pPr>
            <w:r w:rsidRPr="007F4E9F">
              <w:rPr>
                <w:rFonts w:ascii="Times New Roman" w:hAnsi="Times New Roman" w:cs="Times New Roman"/>
              </w:rPr>
              <w:t xml:space="preserve">7. Potencial de escalabilidad </w:t>
            </w:r>
          </w:p>
          <w:p w14:paraId="533CCB1A" w14:textId="77777777" w:rsidR="00A72EF0" w:rsidRPr="007F4E9F" w:rsidRDefault="00A72EF0" w:rsidP="0032235A">
            <w:pPr>
              <w:jc w:val="both"/>
              <w:rPr>
                <w:rFonts w:ascii="Times New Roman" w:hAnsi="Times New Roman" w:cs="Times New Roman"/>
              </w:rPr>
            </w:pPr>
          </w:p>
        </w:tc>
        <w:tc>
          <w:tcPr>
            <w:tcW w:w="3856" w:type="dxa"/>
            <w:vAlign w:val="center"/>
          </w:tcPr>
          <w:p w14:paraId="5E4883AD" w14:textId="23AA3F9C" w:rsidR="00A72EF0" w:rsidRPr="007F4E9F" w:rsidRDefault="00A72EF0" w:rsidP="005C3660">
            <w:pPr>
              <w:pStyle w:val="ListParagraph"/>
              <w:numPr>
                <w:ilvl w:val="0"/>
                <w:numId w:val="17"/>
              </w:numPr>
              <w:jc w:val="both"/>
              <w:rPr>
                <w:rFonts w:ascii="Times New Roman" w:hAnsi="Times New Roman" w:cs="Times New Roman"/>
              </w:rPr>
            </w:pPr>
            <w:r w:rsidRPr="007F4E9F">
              <w:rPr>
                <w:rFonts w:ascii="Times New Roman" w:hAnsi="Times New Roman" w:cs="Times New Roman"/>
              </w:rPr>
              <w:t>Identificación de oportunidades de replicabilidad y expansión del modelo en otras ciudades o países de la región.</w:t>
            </w:r>
          </w:p>
        </w:tc>
        <w:tc>
          <w:tcPr>
            <w:tcW w:w="2737" w:type="dxa"/>
            <w:vAlign w:val="center"/>
          </w:tcPr>
          <w:p w14:paraId="68244FA0" w14:textId="16270C84" w:rsidR="00A72EF0" w:rsidRPr="007F4E9F" w:rsidRDefault="00A72EF0" w:rsidP="0032235A">
            <w:pPr>
              <w:jc w:val="both"/>
              <w:rPr>
                <w:rFonts w:ascii="Times New Roman" w:hAnsi="Times New Roman" w:cs="Times New Roman"/>
              </w:rPr>
            </w:pPr>
            <w:r w:rsidRPr="007F4E9F">
              <w:rPr>
                <w:rFonts w:ascii="Times New Roman" w:hAnsi="Times New Roman" w:cs="Times New Roman"/>
              </w:rPr>
              <w:t>¿El modelo puede ampliarse o replicarse en otros territorios o sectores?</w:t>
            </w:r>
          </w:p>
        </w:tc>
      </w:tr>
    </w:tbl>
    <w:bookmarkEnd w:id="19"/>
    <w:p w14:paraId="2A48484E" w14:textId="77777777" w:rsidR="005A5D2C" w:rsidRPr="007F4E9F" w:rsidRDefault="005A5D2C" w:rsidP="005A5D2C">
      <w:pPr>
        <w:spacing w:line="240" w:lineRule="auto"/>
        <w:jc w:val="both"/>
        <w:rPr>
          <w:rFonts w:ascii="Times New Roman" w:hAnsi="Times New Roman" w:cs="Times New Roman"/>
        </w:rPr>
      </w:pPr>
      <w:r w:rsidRPr="007F4E9F">
        <w:rPr>
          <w:rFonts w:ascii="Times New Roman" w:hAnsi="Times New Roman" w:cs="Times New Roman"/>
          <w:b/>
          <w:bCs/>
        </w:rPr>
        <w:t>Fuente:</w:t>
      </w:r>
      <w:r w:rsidRPr="007F4E9F">
        <w:rPr>
          <w:rFonts w:ascii="Times New Roman" w:hAnsi="Times New Roman" w:cs="Times New Roman"/>
        </w:rPr>
        <w:t xml:space="preserve"> Elaboración propia basado en OCDE (2025).</w:t>
      </w:r>
    </w:p>
    <w:bookmarkEnd w:id="20"/>
    <w:p w14:paraId="5043F84A" w14:textId="77777777" w:rsidR="005A5D2C" w:rsidRPr="007F4E9F" w:rsidRDefault="005A5D2C" w:rsidP="005A5D2C">
      <w:pPr>
        <w:spacing w:line="240" w:lineRule="auto"/>
        <w:jc w:val="both"/>
        <w:rPr>
          <w:rFonts w:ascii="Times New Roman" w:hAnsi="Times New Roman" w:cs="Times New Roman"/>
        </w:rPr>
      </w:pPr>
      <w:r w:rsidRPr="007F4E9F">
        <w:rPr>
          <w:rFonts w:ascii="Times New Roman" w:hAnsi="Times New Roman" w:cs="Times New Roman"/>
        </w:rPr>
        <w:t xml:space="preserve">Finalmente, en concordancia con los principios de utilización revisados por la OCDE (2025) que sugieren una aplicación adaptada y sensible al contexto particular del proyecto y para responder a una evaluación sustentada en evidencias y que incorpora la percepción de los actores, la metodología segmentó la evaluación de las percepciones en cinco grupos poblacionales clave: La Secretaría Distrital de Ambiente de Bogotá como ejecutor, representantes del BID, Comité directivo del proyecto (Secretaría Distrital de ambiente de Bogotá, Alcaldía de Quito, Municipalidad de Lima y  Corporación de Fomento de la Producción, Santiago de Chile), la empresa consultora del componente 2 y los beneficiarios directos (empresas y emprendedores registrados en la plataforma) e indirectos (participantes en espacios de formación y validación). </w:t>
      </w:r>
    </w:p>
    <w:p w14:paraId="5A990187" w14:textId="77777777" w:rsidR="005A5D2C" w:rsidRPr="007F4E9F" w:rsidRDefault="005A5D2C" w:rsidP="005A5D2C">
      <w:pPr>
        <w:spacing w:line="240" w:lineRule="auto"/>
        <w:jc w:val="both"/>
        <w:rPr>
          <w:rFonts w:ascii="Times New Roman" w:hAnsi="Times New Roman" w:cs="Times New Roman"/>
        </w:rPr>
      </w:pPr>
      <w:r w:rsidRPr="007F4E9F">
        <w:rPr>
          <w:rFonts w:ascii="Times New Roman" w:hAnsi="Times New Roman" w:cs="Times New Roman"/>
        </w:rPr>
        <w:t xml:space="preserve">Se reconoció que el alcance y la interacción de estos actores con el proyecto varían drásticamente; por consiguiente, la matriz distribuyó los criterios de forma asimétrica. La asignación del nivel de prioridad para cada criterio según el actor consultado se determinó mediante un mapeo analítico de actores (Stakeholder Mapping) basado en su grado de involucramiento y su rol directo en el ciclo de vida del proyecto. Esta valoración cualitativa partió de la premisa de que no todos los actores tienen la misma visibilidad, competencia e interés sobre todas las fases de la intervención. </w:t>
      </w:r>
    </w:p>
    <w:p w14:paraId="518CE9C4" w14:textId="1F11097E" w:rsidR="003E7C66" w:rsidRPr="007F4E9F" w:rsidRDefault="005A5D2C" w:rsidP="003E7C66">
      <w:pPr>
        <w:jc w:val="both"/>
        <w:rPr>
          <w:rFonts w:ascii="Times New Roman" w:hAnsi="Times New Roman" w:cs="Times New Roman"/>
        </w:rPr>
      </w:pPr>
      <w:r w:rsidRPr="007F4E9F">
        <w:rPr>
          <w:rFonts w:ascii="Times New Roman" w:hAnsi="Times New Roman" w:cs="Times New Roman"/>
        </w:rPr>
        <w:t>Por lo tanto, el criterio de pertinencia compete en mayor medida a los diseñadores, financiadores y ejecutores del proyecto, por esta razón se define una importancia alta de este criterio para la Secretaría Distrital de Ambiente de Bogotá, las empresas consultoras, el comité directivo y los representantes del BID. Por su parte se asigna una importancia baja para la pertinencia a los beneficiarios directos e indirectos. La sostenibilidad y escalabilidad del proyecto son de alta importancia para los ejecutores, financiadores y las ciudades beneficiarias en la medida de garantizar las condiciones de sostenibilidad y escalabilidad requeridas. Sin embargo, a los usuarios de la plataforma les interesa mucho su sostenibilidad y escalabilidad para seguir usando efectivamente la plataforma en sus negociaciones circulares. Estos análisis se aplicaron a cada criterio en relación con todos los actores y los resultados se resumen en la tabla 2</w:t>
      </w:r>
    </w:p>
    <w:p w14:paraId="12B8FE3A" w14:textId="4431A8CC" w:rsidR="007C3533" w:rsidRPr="007F4E9F" w:rsidRDefault="007C3533" w:rsidP="0032235A">
      <w:pPr>
        <w:pStyle w:val="Caption"/>
        <w:keepNext/>
        <w:jc w:val="both"/>
        <w:rPr>
          <w:rFonts w:ascii="Times New Roman" w:hAnsi="Times New Roman" w:cs="Times New Roman"/>
          <w:sz w:val="22"/>
          <w:szCs w:val="22"/>
        </w:rPr>
      </w:pPr>
      <w:bookmarkStart w:id="22" w:name="_Toc225848228"/>
      <w:r w:rsidRPr="007F4E9F">
        <w:rPr>
          <w:rFonts w:ascii="Times New Roman" w:hAnsi="Times New Roman" w:cs="Times New Roman"/>
          <w:sz w:val="22"/>
          <w:szCs w:val="22"/>
        </w:rPr>
        <w:t xml:space="preserve">Tabla </w:t>
      </w:r>
      <w:r w:rsidRPr="007F4E9F">
        <w:rPr>
          <w:rFonts w:ascii="Times New Roman" w:hAnsi="Times New Roman" w:cs="Times New Roman"/>
          <w:sz w:val="22"/>
          <w:szCs w:val="22"/>
        </w:rPr>
        <w:fldChar w:fldCharType="begin"/>
      </w:r>
      <w:r w:rsidRPr="007F4E9F">
        <w:rPr>
          <w:rFonts w:ascii="Times New Roman" w:hAnsi="Times New Roman" w:cs="Times New Roman"/>
          <w:sz w:val="22"/>
          <w:szCs w:val="22"/>
        </w:rPr>
        <w:instrText xml:space="preserve"> SEQ Tabla \* ARABIC </w:instrText>
      </w:r>
      <w:r w:rsidRPr="007F4E9F">
        <w:rPr>
          <w:rFonts w:ascii="Times New Roman" w:hAnsi="Times New Roman" w:cs="Times New Roman"/>
          <w:sz w:val="22"/>
          <w:szCs w:val="22"/>
        </w:rPr>
        <w:fldChar w:fldCharType="separate"/>
      </w:r>
      <w:r w:rsidR="00CB1A80" w:rsidRPr="007F4E9F">
        <w:rPr>
          <w:rFonts w:ascii="Times New Roman" w:hAnsi="Times New Roman" w:cs="Times New Roman"/>
          <w:noProof/>
          <w:sz w:val="22"/>
          <w:szCs w:val="22"/>
        </w:rPr>
        <w:t>2</w:t>
      </w:r>
      <w:r w:rsidRPr="007F4E9F">
        <w:rPr>
          <w:rFonts w:ascii="Times New Roman" w:hAnsi="Times New Roman" w:cs="Times New Roman"/>
          <w:sz w:val="22"/>
          <w:szCs w:val="22"/>
        </w:rPr>
        <w:fldChar w:fldCharType="end"/>
      </w:r>
      <w:r w:rsidRPr="007F4E9F">
        <w:rPr>
          <w:rFonts w:ascii="Times New Roman" w:hAnsi="Times New Roman" w:cs="Times New Roman"/>
          <w:sz w:val="22"/>
          <w:szCs w:val="22"/>
        </w:rPr>
        <w:t xml:space="preserve"> </w:t>
      </w:r>
      <w:r w:rsidR="00DB580A" w:rsidRPr="007F4E9F">
        <w:rPr>
          <w:rFonts w:ascii="Times New Roman" w:hAnsi="Times New Roman" w:cs="Times New Roman"/>
          <w:i/>
          <w:iCs/>
          <w:sz w:val="22"/>
          <w:szCs w:val="22"/>
        </w:rPr>
        <w:t>P</w:t>
      </w:r>
      <w:r w:rsidRPr="007F4E9F">
        <w:rPr>
          <w:rFonts w:ascii="Times New Roman" w:hAnsi="Times New Roman" w:cs="Times New Roman"/>
          <w:i/>
          <w:iCs/>
          <w:sz w:val="22"/>
          <w:szCs w:val="22"/>
        </w:rPr>
        <w:t>rioridad de criterio vs actor</w:t>
      </w:r>
      <w:bookmarkEnd w:id="22"/>
    </w:p>
    <w:tbl>
      <w:tblPr>
        <w:tblStyle w:val="TableGrid"/>
        <w:tblW w:w="8630" w:type="dxa"/>
        <w:tblLayout w:type="fixed"/>
        <w:tblLook w:val="04A0" w:firstRow="1" w:lastRow="0" w:firstColumn="1" w:lastColumn="0" w:noHBand="0" w:noVBand="1"/>
      </w:tblPr>
      <w:tblGrid>
        <w:gridCol w:w="1555"/>
        <w:gridCol w:w="1275"/>
        <w:gridCol w:w="1276"/>
        <w:gridCol w:w="1014"/>
        <w:gridCol w:w="687"/>
        <w:gridCol w:w="1418"/>
        <w:gridCol w:w="1405"/>
      </w:tblGrid>
      <w:tr w:rsidR="003E7C66" w:rsidRPr="007F4E9F" w14:paraId="26F0CD34" w14:textId="77777777" w:rsidTr="00BC7E6C">
        <w:tc>
          <w:tcPr>
            <w:tcW w:w="1555" w:type="dxa"/>
          </w:tcPr>
          <w:p w14:paraId="0B09F33A" w14:textId="77777777" w:rsidR="003E7C66" w:rsidRPr="007F4E9F" w:rsidRDefault="003E7C66" w:rsidP="000949EC">
            <w:pPr>
              <w:jc w:val="center"/>
              <w:rPr>
                <w:rFonts w:ascii="Times New Roman" w:hAnsi="Times New Roman" w:cs="Times New Roman"/>
                <w:b/>
                <w:bCs/>
                <w:sz w:val="20"/>
                <w:szCs w:val="20"/>
              </w:rPr>
            </w:pPr>
            <w:bookmarkStart w:id="23" w:name="_Hlk225512459"/>
            <w:r w:rsidRPr="007F4E9F">
              <w:rPr>
                <w:rFonts w:ascii="Times New Roman" w:hAnsi="Times New Roman" w:cs="Times New Roman"/>
                <w:b/>
                <w:bCs/>
                <w:sz w:val="20"/>
                <w:szCs w:val="20"/>
              </w:rPr>
              <w:t>Criterio</w:t>
            </w:r>
          </w:p>
        </w:tc>
        <w:tc>
          <w:tcPr>
            <w:tcW w:w="1275" w:type="dxa"/>
          </w:tcPr>
          <w:p w14:paraId="17C4C014" w14:textId="77777777" w:rsidR="003E7C66" w:rsidRPr="007F4E9F" w:rsidRDefault="003E7C66" w:rsidP="000949EC">
            <w:pPr>
              <w:jc w:val="center"/>
              <w:rPr>
                <w:rFonts w:ascii="Times New Roman" w:hAnsi="Times New Roman" w:cs="Times New Roman"/>
                <w:b/>
                <w:bCs/>
                <w:sz w:val="20"/>
                <w:szCs w:val="20"/>
              </w:rPr>
            </w:pPr>
            <w:r w:rsidRPr="007F4E9F">
              <w:rPr>
                <w:rFonts w:ascii="Times New Roman" w:hAnsi="Times New Roman" w:cs="Times New Roman"/>
                <w:b/>
                <w:bCs/>
                <w:sz w:val="20"/>
                <w:szCs w:val="20"/>
              </w:rPr>
              <w:t>Secretaría de Ambiente (Ejecutor)</w:t>
            </w:r>
          </w:p>
        </w:tc>
        <w:tc>
          <w:tcPr>
            <w:tcW w:w="1276" w:type="dxa"/>
          </w:tcPr>
          <w:p w14:paraId="72098818" w14:textId="77777777" w:rsidR="003E7C66" w:rsidRPr="007F4E9F" w:rsidRDefault="003E7C66" w:rsidP="000949EC">
            <w:pPr>
              <w:jc w:val="center"/>
              <w:rPr>
                <w:rFonts w:ascii="Times New Roman" w:hAnsi="Times New Roman" w:cs="Times New Roman"/>
                <w:b/>
                <w:bCs/>
                <w:sz w:val="20"/>
                <w:szCs w:val="20"/>
              </w:rPr>
            </w:pPr>
            <w:r w:rsidRPr="007F4E9F">
              <w:rPr>
                <w:rFonts w:ascii="Times New Roman" w:hAnsi="Times New Roman" w:cs="Times New Roman"/>
                <w:b/>
                <w:bCs/>
                <w:sz w:val="20"/>
                <w:szCs w:val="20"/>
              </w:rPr>
              <w:t xml:space="preserve">Empresas Consultoras </w:t>
            </w:r>
          </w:p>
        </w:tc>
        <w:tc>
          <w:tcPr>
            <w:tcW w:w="1014" w:type="dxa"/>
          </w:tcPr>
          <w:p w14:paraId="72B6EFD6" w14:textId="77777777" w:rsidR="003E7C66" w:rsidRPr="007F4E9F" w:rsidRDefault="003E7C66" w:rsidP="000949EC">
            <w:pPr>
              <w:jc w:val="center"/>
              <w:rPr>
                <w:rFonts w:ascii="Times New Roman" w:hAnsi="Times New Roman" w:cs="Times New Roman"/>
                <w:b/>
                <w:bCs/>
                <w:sz w:val="20"/>
                <w:szCs w:val="20"/>
              </w:rPr>
            </w:pPr>
            <w:r w:rsidRPr="007F4E9F">
              <w:rPr>
                <w:rFonts w:ascii="Times New Roman" w:hAnsi="Times New Roman" w:cs="Times New Roman"/>
                <w:b/>
                <w:bCs/>
                <w:sz w:val="20"/>
                <w:szCs w:val="20"/>
              </w:rPr>
              <w:t>Comité directivo</w:t>
            </w:r>
          </w:p>
        </w:tc>
        <w:tc>
          <w:tcPr>
            <w:tcW w:w="687" w:type="dxa"/>
          </w:tcPr>
          <w:p w14:paraId="6F1BCCF7" w14:textId="56597206" w:rsidR="003E7C66" w:rsidRPr="007F4E9F" w:rsidRDefault="003E7C66" w:rsidP="000949EC">
            <w:pPr>
              <w:jc w:val="center"/>
              <w:rPr>
                <w:rFonts w:ascii="Times New Roman" w:hAnsi="Times New Roman" w:cs="Times New Roman"/>
                <w:b/>
                <w:bCs/>
                <w:sz w:val="20"/>
                <w:szCs w:val="20"/>
              </w:rPr>
            </w:pPr>
            <w:r w:rsidRPr="007F4E9F">
              <w:rPr>
                <w:rFonts w:ascii="Times New Roman" w:hAnsi="Times New Roman" w:cs="Times New Roman"/>
                <w:b/>
                <w:bCs/>
                <w:sz w:val="20"/>
                <w:szCs w:val="20"/>
              </w:rPr>
              <w:t>BID</w:t>
            </w:r>
          </w:p>
        </w:tc>
        <w:tc>
          <w:tcPr>
            <w:tcW w:w="1418" w:type="dxa"/>
          </w:tcPr>
          <w:p w14:paraId="1893130C" w14:textId="77777777" w:rsidR="003E7C66" w:rsidRPr="007F4E9F" w:rsidRDefault="003E7C66" w:rsidP="000949EC">
            <w:pPr>
              <w:jc w:val="center"/>
              <w:rPr>
                <w:rFonts w:ascii="Times New Roman" w:hAnsi="Times New Roman" w:cs="Times New Roman"/>
                <w:b/>
                <w:bCs/>
                <w:sz w:val="20"/>
                <w:szCs w:val="20"/>
              </w:rPr>
            </w:pPr>
            <w:r w:rsidRPr="007F4E9F">
              <w:rPr>
                <w:rFonts w:ascii="Times New Roman" w:hAnsi="Times New Roman" w:cs="Times New Roman"/>
                <w:b/>
                <w:bCs/>
                <w:sz w:val="20"/>
                <w:szCs w:val="20"/>
              </w:rPr>
              <w:t>Beneficiarios Directos</w:t>
            </w:r>
          </w:p>
        </w:tc>
        <w:tc>
          <w:tcPr>
            <w:tcW w:w="1405" w:type="dxa"/>
          </w:tcPr>
          <w:p w14:paraId="5D4E7BD0" w14:textId="77777777" w:rsidR="003E7C66" w:rsidRPr="007F4E9F" w:rsidRDefault="003E7C66" w:rsidP="000949EC">
            <w:pPr>
              <w:jc w:val="center"/>
              <w:rPr>
                <w:rFonts w:ascii="Times New Roman" w:hAnsi="Times New Roman" w:cs="Times New Roman"/>
                <w:b/>
                <w:bCs/>
                <w:sz w:val="20"/>
                <w:szCs w:val="20"/>
              </w:rPr>
            </w:pPr>
            <w:r w:rsidRPr="007F4E9F">
              <w:rPr>
                <w:rFonts w:ascii="Times New Roman" w:hAnsi="Times New Roman" w:cs="Times New Roman"/>
                <w:b/>
                <w:bCs/>
                <w:sz w:val="20"/>
                <w:szCs w:val="20"/>
              </w:rPr>
              <w:t>Beneficiarios Indirectos</w:t>
            </w:r>
          </w:p>
        </w:tc>
      </w:tr>
      <w:tr w:rsidR="003E7C66" w:rsidRPr="007F4E9F" w14:paraId="3B27E0C4" w14:textId="77777777" w:rsidTr="00BC7E6C">
        <w:tc>
          <w:tcPr>
            <w:tcW w:w="1555" w:type="dxa"/>
          </w:tcPr>
          <w:p w14:paraId="7EFD1A48" w14:textId="77777777" w:rsidR="003E7C66" w:rsidRPr="007F4E9F" w:rsidRDefault="003E7C66" w:rsidP="000949EC">
            <w:pPr>
              <w:jc w:val="both"/>
              <w:rPr>
                <w:rFonts w:ascii="Times New Roman" w:hAnsi="Times New Roman" w:cs="Times New Roman"/>
                <w:b/>
                <w:bCs/>
                <w:sz w:val="20"/>
                <w:szCs w:val="20"/>
              </w:rPr>
            </w:pPr>
            <w:r w:rsidRPr="007F4E9F">
              <w:rPr>
                <w:rFonts w:ascii="Times New Roman" w:hAnsi="Times New Roman" w:cs="Times New Roman"/>
                <w:b/>
                <w:bCs/>
                <w:sz w:val="20"/>
                <w:szCs w:val="20"/>
              </w:rPr>
              <w:t>Pertinencia</w:t>
            </w:r>
          </w:p>
        </w:tc>
        <w:tc>
          <w:tcPr>
            <w:tcW w:w="1275" w:type="dxa"/>
          </w:tcPr>
          <w:p w14:paraId="4EE6268E"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276" w:type="dxa"/>
          </w:tcPr>
          <w:p w14:paraId="6E61ECBA"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014" w:type="dxa"/>
          </w:tcPr>
          <w:p w14:paraId="3DC37EED"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687" w:type="dxa"/>
          </w:tcPr>
          <w:p w14:paraId="0FE91E8C"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418" w:type="dxa"/>
          </w:tcPr>
          <w:p w14:paraId="7D45892B"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405" w:type="dxa"/>
          </w:tcPr>
          <w:p w14:paraId="6FAC2C2E"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Baja</w:t>
            </w:r>
          </w:p>
        </w:tc>
      </w:tr>
      <w:tr w:rsidR="003E7C66" w:rsidRPr="007F4E9F" w14:paraId="57DAF2CE" w14:textId="77777777" w:rsidTr="00BC7E6C">
        <w:tc>
          <w:tcPr>
            <w:tcW w:w="1555" w:type="dxa"/>
          </w:tcPr>
          <w:p w14:paraId="03E68304" w14:textId="77777777" w:rsidR="003E7C66" w:rsidRPr="007F4E9F" w:rsidRDefault="003E7C66" w:rsidP="000949EC">
            <w:pPr>
              <w:jc w:val="both"/>
              <w:rPr>
                <w:rFonts w:ascii="Times New Roman" w:hAnsi="Times New Roman" w:cs="Times New Roman"/>
                <w:b/>
                <w:bCs/>
                <w:sz w:val="20"/>
                <w:szCs w:val="20"/>
              </w:rPr>
            </w:pPr>
            <w:r w:rsidRPr="007F4E9F">
              <w:rPr>
                <w:rFonts w:ascii="Times New Roman" w:hAnsi="Times New Roman" w:cs="Times New Roman"/>
                <w:b/>
                <w:bCs/>
                <w:sz w:val="20"/>
                <w:szCs w:val="20"/>
              </w:rPr>
              <w:t>Coherencia</w:t>
            </w:r>
          </w:p>
        </w:tc>
        <w:tc>
          <w:tcPr>
            <w:tcW w:w="1275" w:type="dxa"/>
          </w:tcPr>
          <w:p w14:paraId="3D3CF2B1"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276" w:type="dxa"/>
          </w:tcPr>
          <w:p w14:paraId="663739A7"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014" w:type="dxa"/>
          </w:tcPr>
          <w:p w14:paraId="6FABB533"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687" w:type="dxa"/>
          </w:tcPr>
          <w:p w14:paraId="29535732"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418" w:type="dxa"/>
          </w:tcPr>
          <w:p w14:paraId="7D44E1C4"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405" w:type="dxa"/>
          </w:tcPr>
          <w:p w14:paraId="56961CC7"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Baja</w:t>
            </w:r>
          </w:p>
        </w:tc>
      </w:tr>
      <w:tr w:rsidR="003E7C66" w:rsidRPr="007F4E9F" w14:paraId="780AF1D5" w14:textId="77777777" w:rsidTr="00BC7E6C">
        <w:tc>
          <w:tcPr>
            <w:tcW w:w="1555" w:type="dxa"/>
          </w:tcPr>
          <w:p w14:paraId="05A1B3FD" w14:textId="77777777" w:rsidR="003E7C66" w:rsidRPr="007F4E9F" w:rsidRDefault="003E7C66" w:rsidP="000949EC">
            <w:pPr>
              <w:jc w:val="both"/>
              <w:rPr>
                <w:rFonts w:ascii="Times New Roman" w:hAnsi="Times New Roman" w:cs="Times New Roman"/>
                <w:b/>
                <w:bCs/>
                <w:sz w:val="20"/>
                <w:szCs w:val="20"/>
              </w:rPr>
            </w:pPr>
            <w:r w:rsidRPr="007F4E9F">
              <w:rPr>
                <w:rFonts w:ascii="Times New Roman" w:hAnsi="Times New Roman" w:cs="Times New Roman"/>
                <w:b/>
                <w:bCs/>
                <w:sz w:val="20"/>
                <w:szCs w:val="20"/>
              </w:rPr>
              <w:t>Cumplimiento</w:t>
            </w:r>
          </w:p>
        </w:tc>
        <w:tc>
          <w:tcPr>
            <w:tcW w:w="1275" w:type="dxa"/>
          </w:tcPr>
          <w:p w14:paraId="27829AA6"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276" w:type="dxa"/>
          </w:tcPr>
          <w:p w14:paraId="58738C73"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014" w:type="dxa"/>
          </w:tcPr>
          <w:p w14:paraId="63DFEFD1"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687" w:type="dxa"/>
          </w:tcPr>
          <w:p w14:paraId="21000F2D"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418" w:type="dxa"/>
          </w:tcPr>
          <w:p w14:paraId="1A52FA8E"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405" w:type="dxa"/>
          </w:tcPr>
          <w:p w14:paraId="7C62DED1"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Media</w:t>
            </w:r>
          </w:p>
        </w:tc>
      </w:tr>
      <w:tr w:rsidR="003E7C66" w:rsidRPr="007F4E9F" w14:paraId="386EAF64" w14:textId="77777777" w:rsidTr="00BC7E6C">
        <w:tc>
          <w:tcPr>
            <w:tcW w:w="1555" w:type="dxa"/>
          </w:tcPr>
          <w:p w14:paraId="56EC6699" w14:textId="77777777" w:rsidR="003E7C66" w:rsidRPr="007F4E9F" w:rsidRDefault="003E7C66" w:rsidP="000949EC">
            <w:pPr>
              <w:jc w:val="both"/>
              <w:rPr>
                <w:rFonts w:ascii="Times New Roman" w:hAnsi="Times New Roman" w:cs="Times New Roman"/>
                <w:b/>
                <w:bCs/>
                <w:sz w:val="20"/>
                <w:szCs w:val="20"/>
              </w:rPr>
            </w:pPr>
            <w:r w:rsidRPr="007F4E9F">
              <w:rPr>
                <w:rFonts w:ascii="Times New Roman" w:hAnsi="Times New Roman" w:cs="Times New Roman"/>
                <w:b/>
                <w:bCs/>
                <w:sz w:val="20"/>
                <w:szCs w:val="20"/>
              </w:rPr>
              <w:t>Eficiencia</w:t>
            </w:r>
          </w:p>
        </w:tc>
        <w:tc>
          <w:tcPr>
            <w:tcW w:w="1275" w:type="dxa"/>
          </w:tcPr>
          <w:p w14:paraId="4628DCEA"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276" w:type="dxa"/>
          </w:tcPr>
          <w:p w14:paraId="28AFD4FA"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014" w:type="dxa"/>
          </w:tcPr>
          <w:p w14:paraId="7C8A37BC"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687" w:type="dxa"/>
          </w:tcPr>
          <w:p w14:paraId="5D891AFC"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418" w:type="dxa"/>
          </w:tcPr>
          <w:p w14:paraId="6FDD20C4"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Media</w:t>
            </w:r>
          </w:p>
        </w:tc>
        <w:tc>
          <w:tcPr>
            <w:tcW w:w="1405" w:type="dxa"/>
          </w:tcPr>
          <w:p w14:paraId="113EFCA3"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Baja</w:t>
            </w:r>
          </w:p>
        </w:tc>
      </w:tr>
      <w:tr w:rsidR="003E7C66" w:rsidRPr="007F4E9F" w14:paraId="364058AB" w14:textId="77777777" w:rsidTr="00BC7E6C">
        <w:tc>
          <w:tcPr>
            <w:tcW w:w="1555" w:type="dxa"/>
          </w:tcPr>
          <w:p w14:paraId="094B4F52" w14:textId="77777777" w:rsidR="003E7C66" w:rsidRPr="007F4E9F" w:rsidRDefault="003E7C66" w:rsidP="000949EC">
            <w:pPr>
              <w:jc w:val="both"/>
              <w:rPr>
                <w:rFonts w:ascii="Times New Roman" w:hAnsi="Times New Roman" w:cs="Times New Roman"/>
                <w:b/>
                <w:bCs/>
                <w:sz w:val="20"/>
                <w:szCs w:val="20"/>
              </w:rPr>
            </w:pPr>
            <w:r w:rsidRPr="007F4E9F">
              <w:rPr>
                <w:rFonts w:ascii="Times New Roman" w:hAnsi="Times New Roman" w:cs="Times New Roman"/>
                <w:b/>
                <w:bCs/>
                <w:sz w:val="20"/>
                <w:szCs w:val="20"/>
              </w:rPr>
              <w:t>Impacto</w:t>
            </w:r>
          </w:p>
        </w:tc>
        <w:tc>
          <w:tcPr>
            <w:tcW w:w="1275" w:type="dxa"/>
          </w:tcPr>
          <w:p w14:paraId="292EB4E9"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276" w:type="dxa"/>
          </w:tcPr>
          <w:p w14:paraId="7FDF2A5A"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014" w:type="dxa"/>
          </w:tcPr>
          <w:p w14:paraId="2F68CB7D"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687" w:type="dxa"/>
          </w:tcPr>
          <w:p w14:paraId="62533993"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418" w:type="dxa"/>
          </w:tcPr>
          <w:p w14:paraId="2DD49AF7"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405" w:type="dxa"/>
          </w:tcPr>
          <w:p w14:paraId="5049B20C"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r>
      <w:tr w:rsidR="003E7C66" w:rsidRPr="007F4E9F" w14:paraId="26858306" w14:textId="77777777" w:rsidTr="00BC7E6C">
        <w:tc>
          <w:tcPr>
            <w:tcW w:w="1555" w:type="dxa"/>
          </w:tcPr>
          <w:p w14:paraId="5D965795" w14:textId="77777777" w:rsidR="003E7C66" w:rsidRPr="007F4E9F" w:rsidRDefault="003E7C66" w:rsidP="000949EC">
            <w:pPr>
              <w:jc w:val="both"/>
              <w:rPr>
                <w:rFonts w:ascii="Times New Roman" w:hAnsi="Times New Roman" w:cs="Times New Roman"/>
                <w:b/>
                <w:bCs/>
                <w:sz w:val="20"/>
                <w:szCs w:val="20"/>
              </w:rPr>
            </w:pPr>
            <w:r w:rsidRPr="007F4E9F">
              <w:rPr>
                <w:rFonts w:ascii="Times New Roman" w:hAnsi="Times New Roman" w:cs="Times New Roman"/>
                <w:b/>
                <w:bCs/>
                <w:sz w:val="20"/>
                <w:szCs w:val="20"/>
              </w:rPr>
              <w:t>Sostenibilidad</w:t>
            </w:r>
          </w:p>
        </w:tc>
        <w:tc>
          <w:tcPr>
            <w:tcW w:w="1275" w:type="dxa"/>
          </w:tcPr>
          <w:p w14:paraId="6BAAE98F"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276" w:type="dxa"/>
          </w:tcPr>
          <w:p w14:paraId="16CF0B83"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014" w:type="dxa"/>
          </w:tcPr>
          <w:p w14:paraId="1FF95E1C"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687" w:type="dxa"/>
          </w:tcPr>
          <w:p w14:paraId="3C9C1085"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418" w:type="dxa"/>
          </w:tcPr>
          <w:p w14:paraId="4A328892"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405" w:type="dxa"/>
          </w:tcPr>
          <w:p w14:paraId="0FAE231B"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Media</w:t>
            </w:r>
          </w:p>
        </w:tc>
      </w:tr>
      <w:tr w:rsidR="003E7C66" w:rsidRPr="007F4E9F" w14:paraId="2521870A" w14:textId="77777777" w:rsidTr="00BC7E6C">
        <w:tc>
          <w:tcPr>
            <w:tcW w:w="1555" w:type="dxa"/>
          </w:tcPr>
          <w:p w14:paraId="6B004A34" w14:textId="77777777" w:rsidR="003E7C66" w:rsidRPr="007F4E9F" w:rsidRDefault="003E7C66" w:rsidP="000949EC">
            <w:pPr>
              <w:jc w:val="both"/>
              <w:rPr>
                <w:rFonts w:ascii="Times New Roman" w:hAnsi="Times New Roman" w:cs="Times New Roman"/>
                <w:b/>
                <w:bCs/>
                <w:sz w:val="20"/>
                <w:szCs w:val="20"/>
              </w:rPr>
            </w:pPr>
            <w:r w:rsidRPr="007F4E9F">
              <w:rPr>
                <w:rFonts w:ascii="Times New Roman" w:hAnsi="Times New Roman" w:cs="Times New Roman"/>
                <w:b/>
                <w:bCs/>
                <w:sz w:val="20"/>
                <w:szCs w:val="20"/>
              </w:rPr>
              <w:t>Escalabilidad</w:t>
            </w:r>
          </w:p>
        </w:tc>
        <w:tc>
          <w:tcPr>
            <w:tcW w:w="1275" w:type="dxa"/>
          </w:tcPr>
          <w:p w14:paraId="052BA29B"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276" w:type="dxa"/>
          </w:tcPr>
          <w:p w14:paraId="7609D591"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014" w:type="dxa"/>
          </w:tcPr>
          <w:p w14:paraId="725323E5"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687" w:type="dxa"/>
          </w:tcPr>
          <w:p w14:paraId="7A94EAB8"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418" w:type="dxa"/>
          </w:tcPr>
          <w:p w14:paraId="3DFD8FA7"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Alta</w:t>
            </w:r>
          </w:p>
        </w:tc>
        <w:tc>
          <w:tcPr>
            <w:tcW w:w="1405" w:type="dxa"/>
          </w:tcPr>
          <w:p w14:paraId="437CC86B" w14:textId="77777777" w:rsidR="003E7C66" w:rsidRPr="007F4E9F" w:rsidRDefault="003E7C66" w:rsidP="000949EC">
            <w:pPr>
              <w:jc w:val="both"/>
              <w:rPr>
                <w:rFonts w:ascii="Times New Roman" w:hAnsi="Times New Roman" w:cs="Times New Roman"/>
                <w:sz w:val="20"/>
                <w:szCs w:val="20"/>
              </w:rPr>
            </w:pPr>
            <w:r w:rsidRPr="007F4E9F">
              <w:rPr>
                <w:rFonts w:ascii="Times New Roman" w:hAnsi="Times New Roman" w:cs="Times New Roman"/>
                <w:sz w:val="20"/>
                <w:szCs w:val="20"/>
              </w:rPr>
              <w:t>Baja</w:t>
            </w:r>
          </w:p>
        </w:tc>
      </w:tr>
      <w:bookmarkEnd w:id="23"/>
    </w:tbl>
    <w:p w14:paraId="77510A5E" w14:textId="77777777" w:rsidR="00A72EF0" w:rsidRPr="007F4E9F" w:rsidRDefault="00A72EF0" w:rsidP="0032235A">
      <w:pPr>
        <w:jc w:val="both"/>
        <w:rPr>
          <w:rFonts w:ascii="Times New Roman" w:hAnsi="Times New Roman" w:cs="Times New Roman"/>
        </w:rPr>
      </w:pPr>
    </w:p>
    <w:p w14:paraId="6809510E" w14:textId="5A5B6347" w:rsidR="00E75774" w:rsidRPr="007F4E9F" w:rsidRDefault="00F90975" w:rsidP="0032235A">
      <w:pPr>
        <w:jc w:val="both"/>
        <w:rPr>
          <w:rFonts w:ascii="Times New Roman" w:hAnsi="Times New Roman" w:cs="Times New Roman"/>
        </w:rPr>
      </w:pPr>
      <w:r w:rsidRPr="007F4E9F">
        <w:rPr>
          <w:rFonts w:ascii="Times New Roman" w:hAnsi="Times New Roman" w:cs="Times New Roman"/>
        </w:rPr>
        <w:t xml:space="preserve">A partir de esta matriz de evaluación general por componentes, y con las preguntas específicas definidas para cada grupo, se construyeron </w:t>
      </w:r>
      <w:r w:rsidR="00CD2064" w:rsidRPr="007F4E9F">
        <w:rPr>
          <w:rFonts w:ascii="Times New Roman" w:hAnsi="Times New Roman" w:cs="Times New Roman"/>
        </w:rPr>
        <w:t>preguntas</w:t>
      </w:r>
      <w:r w:rsidRPr="007F4E9F">
        <w:rPr>
          <w:rFonts w:ascii="Times New Roman" w:hAnsi="Times New Roman" w:cs="Times New Roman"/>
        </w:rPr>
        <w:t xml:space="preserve"> que </w:t>
      </w:r>
      <w:r w:rsidR="00F84B8C" w:rsidRPr="007F4E9F">
        <w:rPr>
          <w:rFonts w:ascii="Times New Roman" w:hAnsi="Times New Roman" w:cs="Times New Roman"/>
        </w:rPr>
        <w:t>fueron</w:t>
      </w:r>
      <w:r w:rsidRPr="007F4E9F">
        <w:rPr>
          <w:rFonts w:ascii="Times New Roman" w:hAnsi="Times New Roman" w:cs="Times New Roman"/>
        </w:rPr>
        <w:t xml:space="preserve"> aplicadas a los cinco actores mencionados. </w:t>
      </w:r>
      <w:r w:rsidR="00E75774" w:rsidRPr="007F4E9F">
        <w:rPr>
          <w:rFonts w:ascii="Times New Roman" w:hAnsi="Times New Roman" w:cs="Times New Roman"/>
        </w:rPr>
        <w:t>El objetivo fundamental de complementar la revisión documental con las percepciones de los actores, es realizar la evaluación final del Convenio de Cooperación Técnica Regional No Reembolsable No. ATN/OC-19080-RG suscrito con el BID. Todo esto se ejecuta con el propósito de analizar los resultados, impactos, eficiencia y eficacia del proyecto, de cooperación técnica, y en articulación con los actores clave en las ciudades beneficiarias (Bogotá, Quito, Lima y Santiago de Chile).</w:t>
      </w:r>
    </w:p>
    <w:p w14:paraId="51614DFE" w14:textId="3DD8D056" w:rsidR="00BA374B" w:rsidRPr="007F4E9F" w:rsidRDefault="00BA374B" w:rsidP="0032235A">
      <w:pPr>
        <w:pStyle w:val="Caption"/>
        <w:keepNext/>
        <w:jc w:val="both"/>
        <w:rPr>
          <w:rFonts w:ascii="Times New Roman" w:hAnsi="Times New Roman" w:cs="Times New Roman"/>
          <w:sz w:val="22"/>
          <w:szCs w:val="22"/>
        </w:rPr>
      </w:pPr>
      <w:bookmarkStart w:id="24" w:name="_Toc225848229"/>
      <w:r w:rsidRPr="007F4E9F">
        <w:rPr>
          <w:rFonts w:ascii="Times New Roman" w:hAnsi="Times New Roman" w:cs="Times New Roman"/>
          <w:sz w:val="22"/>
          <w:szCs w:val="22"/>
        </w:rPr>
        <w:t xml:space="preserve">Tabla </w:t>
      </w:r>
      <w:r w:rsidRPr="007F4E9F">
        <w:rPr>
          <w:rFonts w:ascii="Times New Roman" w:hAnsi="Times New Roman" w:cs="Times New Roman"/>
          <w:sz w:val="22"/>
          <w:szCs w:val="22"/>
        </w:rPr>
        <w:fldChar w:fldCharType="begin"/>
      </w:r>
      <w:r w:rsidRPr="007F4E9F">
        <w:rPr>
          <w:rFonts w:ascii="Times New Roman" w:hAnsi="Times New Roman" w:cs="Times New Roman"/>
          <w:sz w:val="22"/>
          <w:szCs w:val="22"/>
        </w:rPr>
        <w:instrText xml:space="preserve"> SEQ Tabla \* ARABIC </w:instrText>
      </w:r>
      <w:r w:rsidRPr="007F4E9F">
        <w:rPr>
          <w:rFonts w:ascii="Times New Roman" w:hAnsi="Times New Roman" w:cs="Times New Roman"/>
          <w:sz w:val="22"/>
          <w:szCs w:val="22"/>
        </w:rPr>
        <w:fldChar w:fldCharType="separate"/>
      </w:r>
      <w:r w:rsidR="00CB1A80" w:rsidRPr="007F4E9F">
        <w:rPr>
          <w:rFonts w:ascii="Times New Roman" w:hAnsi="Times New Roman" w:cs="Times New Roman"/>
          <w:noProof/>
          <w:sz w:val="22"/>
          <w:szCs w:val="22"/>
        </w:rPr>
        <w:t>3</w:t>
      </w:r>
      <w:r w:rsidRPr="007F4E9F">
        <w:rPr>
          <w:rFonts w:ascii="Times New Roman" w:hAnsi="Times New Roman" w:cs="Times New Roman"/>
          <w:sz w:val="22"/>
          <w:szCs w:val="22"/>
        </w:rPr>
        <w:fldChar w:fldCharType="end"/>
      </w:r>
      <w:r w:rsidRPr="007F4E9F">
        <w:rPr>
          <w:rFonts w:ascii="Times New Roman" w:hAnsi="Times New Roman" w:cs="Times New Roman"/>
          <w:sz w:val="22"/>
          <w:szCs w:val="22"/>
        </w:rPr>
        <w:t xml:space="preserve"> </w:t>
      </w:r>
      <w:r w:rsidRPr="007F4E9F">
        <w:rPr>
          <w:rFonts w:ascii="Times New Roman" w:hAnsi="Times New Roman" w:cs="Times New Roman"/>
          <w:i/>
          <w:iCs/>
          <w:sz w:val="22"/>
          <w:szCs w:val="22"/>
        </w:rPr>
        <w:t>Instrumentos para la captura de información</w:t>
      </w:r>
      <w:bookmarkEnd w:id="24"/>
      <w:r w:rsidRPr="007F4E9F">
        <w:rPr>
          <w:rFonts w:ascii="Times New Roman" w:hAnsi="Times New Roman" w:cs="Times New Roman"/>
          <w:sz w:val="22"/>
          <w:szCs w:val="22"/>
        </w:rPr>
        <w:t xml:space="preserve"> </w:t>
      </w:r>
    </w:p>
    <w:tbl>
      <w:tblPr>
        <w:tblStyle w:val="TableGrid"/>
        <w:tblW w:w="5000" w:type="pct"/>
        <w:tblLook w:val="04A0" w:firstRow="1" w:lastRow="0" w:firstColumn="1" w:lastColumn="0" w:noHBand="0" w:noVBand="1"/>
      </w:tblPr>
      <w:tblGrid>
        <w:gridCol w:w="1980"/>
        <w:gridCol w:w="6650"/>
      </w:tblGrid>
      <w:tr w:rsidR="00C4235E" w:rsidRPr="007F4E9F" w14:paraId="1B16BDB9" w14:textId="77777777" w:rsidTr="00C4235E">
        <w:tc>
          <w:tcPr>
            <w:tcW w:w="1147" w:type="pct"/>
          </w:tcPr>
          <w:p w14:paraId="284D535E" w14:textId="77777777" w:rsidR="00C4235E" w:rsidRPr="007F4E9F" w:rsidRDefault="00C4235E" w:rsidP="000949EC">
            <w:pPr>
              <w:jc w:val="both"/>
              <w:rPr>
                <w:rFonts w:ascii="Times New Roman" w:hAnsi="Times New Roman" w:cs="Times New Roman"/>
                <w:b/>
                <w:bCs/>
              </w:rPr>
            </w:pPr>
            <w:r w:rsidRPr="007F4E9F">
              <w:rPr>
                <w:rFonts w:ascii="Times New Roman" w:hAnsi="Times New Roman" w:cs="Times New Roman"/>
                <w:b/>
                <w:bCs/>
              </w:rPr>
              <w:t>Actor</w:t>
            </w:r>
          </w:p>
        </w:tc>
        <w:tc>
          <w:tcPr>
            <w:tcW w:w="3853" w:type="pct"/>
          </w:tcPr>
          <w:p w14:paraId="39841497" w14:textId="77777777" w:rsidR="00C4235E" w:rsidRPr="007F4E9F" w:rsidRDefault="00C4235E" w:rsidP="000949EC">
            <w:pPr>
              <w:jc w:val="both"/>
              <w:rPr>
                <w:rFonts w:ascii="Times New Roman" w:hAnsi="Times New Roman" w:cs="Times New Roman"/>
                <w:b/>
                <w:bCs/>
              </w:rPr>
            </w:pPr>
            <w:r w:rsidRPr="007F4E9F">
              <w:rPr>
                <w:rFonts w:ascii="Times New Roman" w:hAnsi="Times New Roman" w:cs="Times New Roman"/>
                <w:b/>
                <w:bCs/>
              </w:rPr>
              <w:t>Instrumento</w:t>
            </w:r>
          </w:p>
        </w:tc>
      </w:tr>
      <w:tr w:rsidR="00C4235E" w:rsidRPr="007F4E9F" w14:paraId="7C6FF270" w14:textId="77777777" w:rsidTr="00C4235E">
        <w:tc>
          <w:tcPr>
            <w:tcW w:w="1147" w:type="pct"/>
          </w:tcPr>
          <w:p w14:paraId="52792604" w14:textId="77777777" w:rsidR="00C4235E" w:rsidRPr="007F4E9F" w:rsidRDefault="00C4235E" w:rsidP="000949EC">
            <w:pPr>
              <w:jc w:val="both"/>
              <w:rPr>
                <w:rFonts w:ascii="Times New Roman" w:hAnsi="Times New Roman" w:cs="Times New Roman"/>
              </w:rPr>
            </w:pPr>
            <w:r w:rsidRPr="007F4E9F">
              <w:rPr>
                <w:rFonts w:ascii="Times New Roman" w:hAnsi="Times New Roman" w:cs="Times New Roman"/>
              </w:rPr>
              <w:t>Comité Directivo</w:t>
            </w:r>
          </w:p>
        </w:tc>
        <w:tc>
          <w:tcPr>
            <w:tcW w:w="3853" w:type="pct"/>
          </w:tcPr>
          <w:p w14:paraId="0CB4500E" w14:textId="77777777" w:rsidR="00C4235E" w:rsidRPr="007F4E9F" w:rsidRDefault="00C4235E" w:rsidP="000949EC">
            <w:pPr>
              <w:jc w:val="both"/>
              <w:rPr>
                <w:rFonts w:ascii="Times New Roman" w:hAnsi="Times New Roman" w:cs="Times New Roman"/>
              </w:rPr>
            </w:pPr>
            <w:r w:rsidRPr="007F4E9F">
              <w:rPr>
                <w:rFonts w:ascii="Times New Roman" w:hAnsi="Times New Roman" w:cs="Times New Roman"/>
              </w:rPr>
              <w:t>Al Comité directivo conformado por representantes de las ciudades beneficiarias se aplicaron 14 preguntas, dos por cada criterio a través de un grupo focal dinamizado a través de un tablero colaborativo en la plataforma Miro (Ver anexo 2).</w:t>
            </w:r>
          </w:p>
        </w:tc>
      </w:tr>
      <w:tr w:rsidR="00C4235E" w:rsidRPr="007F4E9F" w14:paraId="766E456F" w14:textId="77777777" w:rsidTr="00C4235E">
        <w:tc>
          <w:tcPr>
            <w:tcW w:w="1147" w:type="pct"/>
          </w:tcPr>
          <w:p w14:paraId="6DB4AC38" w14:textId="77777777" w:rsidR="00C4235E" w:rsidRPr="007F4E9F" w:rsidRDefault="00C4235E" w:rsidP="000949EC">
            <w:pPr>
              <w:jc w:val="both"/>
              <w:rPr>
                <w:rFonts w:ascii="Times New Roman" w:hAnsi="Times New Roman" w:cs="Times New Roman"/>
              </w:rPr>
            </w:pPr>
            <w:r w:rsidRPr="007F4E9F">
              <w:rPr>
                <w:rFonts w:ascii="Times New Roman" w:hAnsi="Times New Roman" w:cs="Times New Roman"/>
              </w:rPr>
              <w:t>Usuarios de la plataforma</w:t>
            </w:r>
          </w:p>
        </w:tc>
        <w:tc>
          <w:tcPr>
            <w:tcW w:w="3853" w:type="pct"/>
          </w:tcPr>
          <w:p w14:paraId="473FD229" w14:textId="77777777" w:rsidR="00C4235E" w:rsidRPr="007F4E9F" w:rsidRDefault="00C4235E" w:rsidP="000949EC">
            <w:pPr>
              <w:jc w:val="both"/>
              <w:rPr>
                <w:rFonts w:ascii="Times New Roman" w:hAnsi="Times New Roman" w:cs="Times New Roman"/>
              </w:rPr>
            </w:pPr>
            <w:r w:rsidRPr="007F4E9F">
              <w:rPr>
                <w:rFonts w:ascii="Times New Roman" w:hAnsi="Times New Roman" w:cs="Times New Roman"/>
              </w:rPr>
              <w:t>A los usuarios de la plataforma se les aplicó una encuesta en un formulario Google que contaba con 20 preguntas (Ver Anexo 3).</w:t>
            </w:r>
          </w:p>
        </w:tc>
      </w:tr>
      <w:tr w:rsidR="00C4235E" w:rsidRPr="007F4E9F" w14:paraId="01037E2C" w14:textId="77777777" w:rsidTr="00C4235E">
        <w:tc>
          <w:tcPr>
            <w:tcW w:w="1147" w:type="pct"/>
          </w:tcPr>
          <w:p w14:paraId="7F6AABA8" w14:textId="77777777" w:rsidR="00C4235E" w:rsidRPr="007F4E9F" w:rsidRDefault="00C4235E" w:rsidP="000949EC">
            <w:pPr>
              <w:jc w:val="both"/>
              <w:rPr>
                <w:rFonts w:ascii="Times New Roman" w:hAnsi="Times New Roman" w:cs="Times New Roman"/>
              </w:rPr>
            </w:pPr>
            <w:r w:rsidRPr="007F4E9F">
              <w:rPr>
                <w:rFonts w:ascii="Times New Roman" w:hAnsi="Times New Roman" w:cs="Times New Roman"/>
              </w:rPr>
              <w:t>Secretaría Distrital de Ambiente</w:t>
            </w:r>
          </w:p>
        </w:tc>
        <w:tc>
          <w:tcPr>
            <w:tcW w:w="3853" w:type="pct"/>
          </w:tcPr>
          <w:p w14:paraId="3A484172" w14:textId="77777777" w:rsidR="00C4235E" w:rsidRPr="007F4E9F" w:rsidRDefault="00C4235E" w:rsidP="000949EC">
            <w:pPr>
              <w:jc w:val="both"/>
              <w:rPr>
                <w:rFonts w:ascii="Times New Roman" w:hAnsi="Times New Roman" w:cs="Times New Roman"/>
              </w:rPr>
            </w:pPr>
            <w:r w:rsidRPr="007F4E9F">
              <w:rPr>
                <w:rFonts w:ascii="Times New Roman" w:hAnsi="Times New Roman" w:cs="Times New Roman"/>
              </w:rPr>
              <w:t>Con el comité técnico y los profesionales de apoyo en mercadeo y soporte TI, se desarrollaron entrevistas semiestructuradas con las preguntas listadas en la matriz de evaluación (Ver Anexo 4).</w:t>
            </w:r>
          </w:p>
        </w:tc>
      </w:tr>
      <w:tr w:rsidR="000E3065" w:rsidRPr="007F4E9F" w14:paraId="7A0DC85C" w14:textId="77777777" w:rsidTr="00C4235E">
        <w:tc>
          <w:tcPr>
            <w:tcW w:w="1147" w:type="pct"/>
          </w:tcPr>
          <w:p w14:paraId="066B4435" w14:textId="2F64D356" w:rsidR="000E3065" w:rsidRPr="007F4E9F" w:rsidRDefault="000E3065" w:rsidP="000949EC">
            <w:pPr>
              <w:jc w:val="both"/>
              <w:rPr>
                <w:rFonts w:ascii="Times New Roman" w:hAnsi="Times New Roman" w:cs="Times New Roman"/>
              </w:rPr>
            </w:pPr>
            <w:r w:rsidRPr="007F4E9F">
              <w:rPr>
                <w:rFonts w:ascii="Times New Roman" w:hAnsi="Times New Roman" w:cs="Times New Roman"/>
              </w:rPr>
              <w:t>Banco Interamericano de Desarrollo</w:t>
            </w:r>
          </w:p>
        </w:tc>
        <w:tc>
          <w:tcPr>
            <w:tcW w:w="3853" w:type="pct"/>
          </w:tcPr>
          <w:p w14:paraId="5C245CED" w14:textId="4E18E4FF" w:rsidR="000E3065" w:rsidRPr="007F4E9F" w:rsidRDefault="00847185" w:rsidP="000949EC">
            <w:pPr>
              <w:jc w:val="both"/>
              <w:rPr>
                <w:rFonts w:ascii="Times New Roman" w:hAnsi="Times New Roman" w:cs="Times New Roman"/>
              </w:rPr>
            </w:pPr>
            <w:commentRangeStart w:id="25"/>
            <w:r w:rsidRPr="007F4E9F">
              <w:rPr>
                <w:rFonts w:ascii="Times New Roman" w:hAnsi="Times New Roman" w:cs="Times New Roman"/>
              </w:rPr>
              <w:t xml:space="preserve">(Ver Anexo </w:t>
            </w:r>
            <w:r w:rsidR="00AD38CF" w:rsidRPr="007F4E9F">
              <w:rPr>
                <w:rFonts w:ascii="Times New Roman" w:hAnsi="Times New Roman" w:cs="Times New Roman"/>
              </w:rPr>
              <w:t>5</w:t>
            </w:r>
            <w:r w:rsidRPr="007F4E9F">
              <w:rPr>
                <w:rFonts w:ascii="Times New Roman" w:hAnsi="Times New Roman" w:cs="Times New Roman"/>
              </w:rPr>
              <w:t>).</w:t>
            </w:r>
            <w:commentRangeEnd w:id="25"/>
            <w:r w:rsidR="004A3788" w:rsidRPr="007F4E9F">
              <w:rPr>
                <w:rStyle w:val="CommentReference"/>
                <w:rFonts w:ascii="Times New Roman" w:hAnsi="Times New Roman" w:cs="Times New Roman"/>
                <w:sz w:val="22"/>
                <w:szCs w:val="22"/>
              </w:rPr>
              <w:commentReference w:id="25"/>
            </w:r>
          </w:p>
        </w:tc>
      </w:tr>
      <w:tr w:rsidR="000E3065" w:rsidRPr="007F4E9F" w14:paraId="2EBB6540" w14:textId="77777777" w:rsidTr="00C4235E">
        <w:tc>
          <w:tcPr>
            <w:tcW w:w="1147" w:type="pct"/>
          </w:tcPr>
          <w:p w14:paraId="69C5F8F9" w14:textId="48785971" w:rsidR="000E3065" w:rsidRPr="007F4E9F" w:rsidRDefault="000E3065" w:rsidP="000949EC">
            <w:pPr>
              <w:jc w:val="both"/>
              <w:rPr>
                <w:rFonts w:ascii="Times New Roman" w:hAnsi="Times New Roman" w:cs="Times New Roman"/>
              </w:rPr>
            </w:pPr>
            <w:r w:rsidRPr="007F4E9F">
              <w:rPr>
                <w:rFonts w:ascii="Times New Roman" w:hAnsi="Times New Roman" w:cs="Times New Roman"/>
              </w:rPr>
              <w:t>Consultora componente 2</w:t>
            </w:r>
          </w:p>
        </w:tc>
        <w:tc>
          <w:tcPr>
            <w:tcW w:w="3853" w:type="pct"/>
          </w:tcPr>
          <w:p w14:paraId="6AED5AA5" w14:textId="6043DE79" w:rsidR="000E3065" w:rsidRPr="007F4E9F" w:rsidRDefault="004A7408" w:rsidP="000949EC">
            <w:pPr>
              <w:jc w:val="both"/>
              <w:rPr>
                <w:rFonts w:ascii="Times New Roman" w:hAnsi="Times New Roman" w:cs="Times New Roman"/>
              </w:rPr>
            </w:pPr>
            <w:r w:rsidRPr="007F4E9F">
              <w:rPr>
                <w:rFonts w:ascii="Times New Roman" w:hAnsi="Times New Roman" w:cs="Times New Roman"/>
              </w:rPr>
              <w:t>Con las empresas consultoras del componente 1 y 2 se desarrollaron entrevistas semi estructuradas con el fin de explorar buenas prácticas y lecciones aprendidas, así como las condiciones habilitantes y limitantes para la sostenibilidad y escalabilidad del proyecto.</w:t>
            </w:r>
            <w:r w:rsidR="00847185" w:rsidRPr="007F4E9F">
              <w:rPr>
                <w:rFonts w:ascii="Times New Roman" w:hAnsi="Times New Roman" w:cs="Times New Roman"/>
              </w:rPr>
              <w:t xml:space="preserve"> (Ver Anexo </w:t>
            </w:r>
            <w:r w:rsidR="00AD38CF" w:rsidRPr="007F4E9F">
              <w:rPr>
                <w:rFonts w:ascii="Times New Roman" w:hAnsi="Times New Roman" w:cs="Times New Roman"/>
              </w:rPr>
              <w:t>6</w:t>
            </w:r>
            <w:r w:rsidR="00847185" w:rsidRPr="007F4E9F">
              <w:rPr>
                <w:rFonts w:ascii="Times New Roman" w:hAnsi="Times New Roman" w:cs="Times New Roman"/>
              </w:rPr>
              <w:t>).</w:t>
            </w:r>
          </w:p>
        </w:tc>
      </w:tr>
      <w:tr w:rsidR="000E3065" w:rsidRPr="007F4E9F" w14:paraId="2C510B3D" w14:textId="77777777" w:rsidTr="00C4235E">
        <w:tc>
          <w:tcPr>
            <w:tcW w:w="1147" w:type="pct"/>
          </w:tcPr>
          <w:p w14:paraId="49ABD78F" w14:textId="643EC9AA" w:rsidR="000E3065" w:rsidRPr="007F4E9F" w:rsidRDefault="000E3065" w:rsidP="000949EC">
            <w:pPr>
              <w:jc w:val="both"/>
              <w:rPr>
                <w:rFonts w:ascii="Times New Roman" w:hAnsi="Times New Roman" w:cs="Times New Roman"/>
              </w:rPr>
            </w:pPr>
            <w:r w:rsidRPr="007F4E9F">
              <w:rPr>
                <w:rFonts w:ascii="Times New Roman" w:hAnsi="Times New Roman" w:cs="Times New Roman"/>
              </w:rPr>
              <w:t>Beneficiarios indirectos de la plataforma</w:t>
            </w:r>
          </w:p>
        </w:tc>
        <w:tc>
          <w:tcPr>
            <w:tcW w:w="3853" w:type="pct"/>
          </w:tcPr>
          <w:p w14:paraId="60796629" w14:textId="616D9A50" w:rsidR="000E3065" w:rsidRPr="007F4E9F" w:rsidRDefault="004A7408" w:rsidP="000949EC">
            <w:pPr>
              <w:jc w:val="both"/>
              <w:rPr>
                <w:rFonts w:ascii="Times New Roman" w:hAnsi="Times New Roman" w:cs="Times New Roman"/>
              </w:rPr>
            </w:pPr>
            <w:r w:rsidRPr="007F4E9F">
              <w:rPr>
                <w:rFonts w:ascii="Times New Roman" w:hAnsi="Times New Roman" w:cs="Times New Roman"/>
              </w:rPr>
              <w:t>A los participantes de espacios de difusión del conocimiento a través de Webinars y su participación en espacios de presentación y validación de los productos, se les aplico una encuesta en un formulario Google</w:t>
            </w:r>
            <w:r w:rsidR="00847185" w:rsidRPr="007F4E9F">
              <w:rPr>
                <w:rFonts w:ascii="Times New Roman" w:hAnsi="Times New Roman" w:cs="Times New Roman"/>
              </w:rPr>
              <w:t xml:space="preserve"> (Ver Anexo </w:t>
            </w:r>
            <w:r w:rsidR="00AD38CF" w:rsidRPr="007F4E9F">
              <w:rPr>
                <w:rFonts w:ascii="Times New Roman" w:hAnsi="Times New Roman" w:cs="Times New Roman"/>
              </w:rPr>
              <w:t>7</w:t>
            </w:r>
            <w:r w:rsidR="00847185" w:rsidRPr="007F4E9F">
              <w:rPr>
                <w:rFonts w:ascii="Times New Roman" w:hAnsi="Times New Roman" w:cs="Times New Roman"/>
              </w:rPr>
              <w:t>).</w:t>
            </w:r>
          </w:p>
        </w:tc>
      </w:tr>
      <w:tr w:rsidR="004A7408" w:rsidRPr="007F4E9F" w14:paraId="67317B62" w14:textId="77777777" w:rsidTr="00EB5772">
        <w:tc>
          <w:tcPr>
            <w:tcW w:w="1147" w:type="pct"/>
            <w:vAlign w:val="center"/>
          </w:tcPr>
          <w:p w14:paraId="568D57C1" w14:textId="74833C09" w:rsidR="004A7408" w:rsidRPr="007F4E9F" w:rsidRDefault="004A7408" w:rsidP="004A7408">
            <w:pPr>
              <w:jc w:val="both"/>
              <w:rPr>
                <w:rFonts w:ascii="Times New Roman" w:hAnsi="Times New Roman" w:cs="Times New Roman"/>
              </w:rPr>
            </w:pPr>
            <w:r w:rsidRPr="007F4E9F">
              <w:rPr>
                <w:rFonts w:ascii="Times New Roman" w:hAnsi="Times New Roman" w:cs="Times New Roman"/>
              </w:rPr>
              <w:t>Expertos en EC</w:t>
            </w:r>
          </w:p>
        </w:tc>
        <w:tc>
          <w:tcPr>
            <w:tcW w:w="3853" w:type="pct"/>
            <w:vAlign w:val="center"/>
          </w:tcPr>
          <w:p w14:paraId="076C7782" w14:textId="76456EB8" w:rsidR="004A7408" w:rsidRPr="007F4E9F" w:rsidRDefault="004A7408" w:rsidP="004A7408">
            <w:pPr>
              <w:jc w:val="both"/>
              <w:rPr>
                <w:rFonts w:ascii="Times New Roman" w:hAnsi="Times New Roman" w:cs="Times New Roman"/>
              </w:rPr>
            </w:pPr>
            <w:r w:rsidRPr="007F4E9F">
              <w:rPr>
                <w:rFonts w:ascii="Times New Roman" w:hAnsi="Times New Roman" w:cs="Times New Roman"/>
              </w:rPr>
              <w:t>A algunos expertos regionales en EC se desarrolló con ellos una entrevista semiestructurada para evaluar la pertinencia del proyecto, así como como las condiciones habilitantes y limitantes para la sostenibilidad y escalabilidad del proyecto.</w:t>
            </w:r>
            <w:r w:rsidR="00847185" w:rsidRPr="007F4E9F">
              <w:rPr>
                <w:rFonts w:ascii="Times New Roman" w:hAnsi="Times New Roman" w:cs="Times New Roman"/>
              </w:rPr>
              <w:t xml:space="preserve"> (Ver Anexo </w:t>
            </w:r>
            <w:r w:rsidR="00AD38CF" w:rsidRPr="007F4E9F">
              <w:rPr>
                <w:rFonts w:ascii="Times New Roman" w:hAnsi="Times New Roman" w:cs="Times New Roman"/>
              </w:rPr>
              <w:t>8</w:t>
            </w:r>
            <w:r w:rsidR="00847185" w:rsidRPr="007F4E9F">
              <w:rPr>
                <w:rFonts w:ascii="Times New Roman" w:hAnsi="Times New Roman" w:cs="Times New Roman"/>
              </w:rPr>
              <w:t>).</w:t>
            </w:r>
          </w:p>
        </w:tc>
      </w:tr>
    </w:tbl>
    <w:p w14:paraId="575B83D2" w14:textId="77777777" w:rsidR="00C4235E" w:rsidRPr="007F4E9F" w:rsidRDefault="00C4235E" w:rsidP="00C4235E">
      <w:pPr>
        <w:spacing w:line="240" w:lineRule="auto"/>
        <w:jc w:val="both"/>
        <w:rPr>
          <w:rFonts w:ascii="Times New Roman" w:hAnsi="Times New Roman" w:cs="Times New Roman"/>
        </w:rPr>
      </w:pPr>
      <w:r w:rsidRPr="007F4E9F">
        <w:rPr>
          <w:rFonts w:ascii="Times New Roman" w:hAnsi="Times New Roman" w:cs="Times New Roman"/>
        </w:rPr>
        <w:t>Fuente: elaboración propia</w:t>
      </w:r>
    </w:p>
    <w:p w14:paraId="430D51FF" w14:textId="77777777" w:rsidR="00C4235E" w:rsidRPr="007F4E9F" w:rsidRDefault="00C4235E" w:rsidP="00C4235E">
      <w:pPr>
        <w:spacing w:line="240" w:lineRule="auto"/>
        <w:jc w:val="both"/>
        <w:rPr>
          <w:rFonts w:ascii="Times New Roman" w:hAnsi="Times New Roman"/>
        </w:rPr>
      </w:pPr>
      <w:r w:rsidRPr="007F4E9F">
        <w:rPr>
          <w:rFonts w:ascii="Times New Roman" w:hAnsi="Times New Roman"/>
        </w:rPr>
        <w:t>Con el objetivo de garantizar la trazabilidad y la transparencia en la recolección de la evidencia, se establecieron parámetros específicos para cada grupo poblacional consultado. En la Tabla 4 se detallan el universo poblacional, la muestra alcanzada, las tasas de respuesta y el periodo de levantamiento (fechas de envío y cierre de instrumentos).</w:t>
      </w:r>
    </w:p>
    <w:p w14:paraId="710F69B1" w14:textId="77777777" w:rsidR="00C4235E" w:rsidRPr="007F4E9F" w:rsidRDefault="00C4235E" w:rsidP="00C4235E">
      <w:pPr>
        <w:pStyle w:val="Caption"/>
        <w:keepNext/>
        <w:jc w:val="both"/>
        <w:rPr>
          <w:rFonts w:ascii="Times New Roman" w:hAnsi="Times New Roman" w:cs="Times New Roman"/>
          <w:i/>
          <w:iCs/>
          <w:sz w:val="22"/>
          <w:szCs w:val="22"/>
        </w:rPr>
      </w:pPr>
      <w:r w:rsidRPr="007F4E9F">
        <w:rPr>
          <w:rFonts w:ascii="Times New Roman" w:hAnsi="Times New Roman" w:cs="Times New Roman"/>
          <w:sz w:val="22"/>
          <w:szCs w:val="22"/>
        </w:rPr>
        <w:t xml:space="preserve">Tabla 4 </w:t>
      </w:r>
      <w:r w:rsidRPr="007F4E9F">
        <w:rPr>
          <w:rFonts w:ascii="Times New Roman" w:hAnsi="Times New Roman" w:cs="Times New Roman"/>
          <w:i/>
          <w:iCs/>
          <w:sz w:val="22"/>
          <w:szCs w:val="22"/>
        </w:rPr>
        <w:t>Parámetros técnicos del levantamiento de información</w:t>
      </w:r>
    </w:p>
    <w:tbl>
      <w:tblPr>
        <w:tblStyle w:val="TableGrid"/>
        <w:tblW w:w="0" w:type="auto"/>
        <w:tblLook w:val="04A0" w:firstRow="1" w:lastRow="0" w:firstColumn="1" w:lastColumn="0" w:noHBand="0" w:noVBand="1"/>
      </w:tblPr>
      <w:tblGrid>
        <w:gridCol w:w="2150"/>
        <w:gridCol w:w="2187"/>
        <w:gridCol w:w="2162"/>
        <w:gridCol w:w="2131"/>
      </w:tblGrid>
      <w:tr w:rsidR="00C4235E" w:rsidRPr="007F4E9F" w14:paraId="772EC1F1" w14:textId="77777777" w:rsidTr="000949EC">
        <w:tc>
          <w:tcPr>
            <w:tcW w:w="2150" w:type="dxa"/>
          </w:tcPr>
          <w:p w14:paraId="7756A522" w14:textId="77777777" w:rsidR="00C4235E" w:rsidRPr="007F4E9F" w:rsidRDefault="00C4235E" w:rsidP="000949EC">
            <w:pPr>
              <w:jc w:val="center"/>
              <w:rPr>
                <w:rFonts w:ascii="Times New Roman" w:hAnsi="Times New Roman"/>
                <w:b/>
                <w:bCs/>
              </w:rPr>
            </w:pPr>
            <w:r w:rsidRPr="007F4E9F">
              <w:rPr>
                <w:rFonts w:ascii="Times New Roman" w:hAnsi="Times New Roman"/>
                <w:b/>
                <w:bCs/>
              </w:rPr>
              <w:t>Actor</w:t>
            </w:r>
          </w:p>
        </w:tc>
        <w:tc>
          <w:tcPr>
            <w:tcW w:w="2187" w:type="dxa"/>
          </w:tcPr>
          <w:p w14:paraId="5209F0AD" w14:textId="77777777" w:rsidR="00C4235E" w:rsidRPr="007F4E9F" w:rsidRDefault="00C4235E" w:rsidP="000949EC">
            <w:pPr>
              <w:jc w:val="center"/>
              <w:rPr>
                <w:rFonts w:ascii="Times New Roman" w:hAnsi="Times New Roman"/>
                <w:b/>
                <w:bCs/>
              </w:rPr>
            </w:pPr>
            <w:r w:rsidRPr="007F4E9F">
              <w:rPr>
                <w:rFonts w:ascii="Times New Roman" w:hAnsi="Times New Roman"/>
                <w:b/>
                <w:bCs/>
              </w:rPr>
              <w:t>Universo/Muestra</w:t>
            </w:r>
          </w:p>
        </w:tc>
        <w:tc>
          <w:tcPr>
            <w:tcW w:w="2162" w:type="dxa"/>
          </w:tcPr>
          <w:p w14:paraId="62630944" w14:textId="77777777" w:rsidR="00C4235E" w:rsidRPr="007F4E9F" w:rsidRDefault="00C4235E" w:rsidP="000949EC">
            <w:pPr>
              <w:jc w:val="center"/>
              <w:rPr>
                <w:rFonts w:ascii="Times New Roman" w:hAnsi="Times New Roman"/>
                <w:b/>
                <w:bCs/>
              </w:rPr>
            </w:pPr>
            <w:r w:rsidRPr="007F4E9F">
              <w:rPr>
                <w:rFonts w:ascii="Times New Roman" w:hAnsi="Times New Roman"/>
                <w:b/>
                <w:bCs/>
              </w:rPr>
              <w:t>Periodo de levantamiento</w:t>
            </w:r>
          </w:p>
        </w:tc>
        <w:tc>
          <w:tcPr>
            <w:tcW w:w="2131" w:type="dxa"/>
          </w:tcPr>
          <w:p w14:paraId="0C676F8A" w14:textId="77777777" w:rsidR="00C4235E" w:rsidRPr="007F4E9F" w:rsidRDefault="00C4235E" w:rsidP="000949EC">
            <w:pPr>
              <w:jc w:val="center"/>
              <w:rPr>
                <w:rFonts w:ascii="Times New Roman" w:hAnsi="Times New Roman"/>
                <w:b/>
                <w:bCs/>
              </w:rPr>
            </w:pPr>
            <w:r w:rsidRPr="007F4E9F">
              <w:rPr>
                <w:rFonts w:ascii="Times New Roman" w:hAnsi="Times New Roman"/>
                <w:b/>
                <w:bCs/>
              </w:rPr>
              <w:t>Tasa de respuesta</w:t>
            </w:r>
          </w:p>
        </w:tc>
      </w:tr>
      <w:tr w:rsidR="00C4235E" w:rsidRPr="007F4E9F" w14:paraId="7B9B06F8" w14:textId="77777777" w:rsidTr="000949EC">
        <w:tc>
          <w:tcPr>
            <w:tcW w:w="2150" w:type="dxa"/>
            <w:vAlign w:val="center"/>
          </w:tcPr>
          <w:p w14:paraId="57D33F53" w14:textId="77777777" w:rsidR="00C4235E" w:rsidRPr="007F4E9F" w:rsidRDefault="00C4235E" w:rsidP="000949EC">
            <w:pPr>
              <w:rPr>
                <w:rFonts w:ascii="Times New Roman" w:hAnsi="Times New Roman"/>
              </w:rPr>
            </w:pPr>
            <w:r w:rsidRPr="007F4E9F">
              <w:rPr>
                <w:rFonts w:ascii="Times New Roman" w:hAnsi="Times New Roman" w:cs="Times New Roman"/>
              </w:rPr>
              <w:t>Comité Directivo</w:t>
            </w:r>
          </w:p>
        </w:tc>
        <w:tc>
          <w:tcPr>
            <w:tcW w:w="2187" w:type="dxa"/>
          </w:tcPr>
          <w:p w14:paraId="5E3127E5" w14:textId="77777777" w:rsidR="00C4235E" w:rsidRPr="007F4E9F" w:rsidRDefault="00C4235E" w:rsidP="000949EC">
            <w:pPr>
              <w:rPr>
                <w:rFonts w:ascii="Times New Roman" w:hAnsi="Times New Roman"/>
              </w:rPr>
            </w:pPr>
            <w:r w:rsidRPr="007F4E9F">
              <w:rPr>
                <w:rFonts w:ascii="Times New Roman" w:hAnsi="Times New Roman"/>
              </w:rPr>
              <w:t>Universo: cuatro miembros del comité directivo</w:t>
            </w:r>
          </w:p>
          <w:p w14:paraId="1ED466BE" w14:textId="77777777" w:rsidR="00C4235E" w:rsidRPr="007F4E9F" w:rsidRDefault="00C4235E" w:rsidP="000949EC">
            <w:pPr>
              <w:rPr>
                <w:rFonts w:ascii="Times New Roman" w:hAnsi="Times New Roman"/>
              </w:rPr>
            </w:pPr>
            <w:r w:rsidRPr="007F4E9F">
              <w:rPr>
                <w:rFonts w:ascii="Times New Roman" w:hAnsi="Times New Roman"/>
              </w:rPr>
              <w:t>Muestra: 3 miembros</w:t>
            </w:r>
          </w:p>
        </w:tc>
        <w:tc>
          <w:tcPr>
            <w:tcW w:w="2162" w:type="dxa"/>
          </w:tcPr>
          <w:p w14:paraId="557645BD" w14:textId="77777777" w:rsidR="00C4235E" w:rsidRPr="007F4E9F" w:rsidRDefault="00C4235E" w:rsidP="000949EC">
            <w:pPr>
              <w:rPr>
                <w:rFonts w:ascii="Times New Roman" w:hAnsi="Times New Roman"/>
              </w:rPr>
            </w:pPr>
            <w:r w:rsidRPr="007F4E9F">
              <w:rPr>
                <w:rFonts w:ascii="Times New Roman" w:hAnsi="Times New Roman"/>
              </w:rPr>
              <w:t>Ejecución: 5 de marzo de 2026</w:t>
            </w:r>
          </w:p>
        </w:tc>
        <w:tc>
          <w:tcPr>
            <w:tcW w:w="2131" w:type="dxa"/>
          </w:tcPr>
          <w:p w14:paraId="355E3EC6" w14:textId="77777777" w:rsidR="00C4235E" w:rsidRPr="007F4E9F" w:rsidRDefault="00C4235E" w:rsidP="000949EC">
            <w:pPr>
              <w:rPr>
                <w:rFonts w:ascii="Times New Roman" w:hAnsi="Times New Roman"/>
              </w:rPr>
            </w:pPr>
            <w:r w:rsidRPr="007F4E9F">
              <w:rPr>
                <w:rFonts w:ascii="Times New Roman" w:hAnsi="Times New Roman"/>
              </w:rPr>
              <w:t>50 %</w:t>
            </w:r>
          </w:p>
        </w:tc>
      </w:tr>
      <w:tr w:rsidR="00C4235E" w:rsidRPr="007F4E9F" w14:paraId="00F48411" w14:textId="77777777" w:rsidTr="000949EC">
        <w:tc>
          <w:tcPr>
            <w:tcW w:w="2150" w:type="dxa"/>
            <w:vAlign w:val="center"/>
          </w:tcPr>
          <w:p w14:paraId="05675E85" w14:textId="77777777" w:rsidR="00C4235E" w:rsidRPr="007F4E9F" w:rsidRDefault="00C4235E" w:rsidP="000949EC">
            <w:pPr>
              <w:rPr>
                <w:rFonts w:ascii="Times New Roman" w:hAnsi="Times New Roman"/>
              </w:rPr>
            </w:pPr>
            <w:r w:rsidRPr="007F4E9F">
              <w:rPr>
                <w:rFonts w:ascii="Times New Roman" w:hAnsi="Times New Roman" w:cs="Times New Roman"/>
              </w:rPr>
              <w:t>Usuarios de la plataforma</w:t>
            </w:r>
          </w:p>
        </w:tc>
        <w:tc>
          <w:tcPr>
            <w:tcW w:w="2187" w:type="dxa"/>
          </w:tcPr>
          <w:p w14:paraId="69A1C2B2" w14:textId="77777777" w:rsidR="00C4235E" w:rsidRPr="007F4E9F" w:rsidRDefault="00C4235E" w:rsidP="000949EC">
            <w:pPr>
              <w:rPr>
                <w:rFonts w:ascii="Times New Roman" w:hAnsi="Times New Roman"/>
              </w:rPr>
            </w:pPr>
            <w:r w:rsidRPr="007F4E9F">
              <w:rPr>
                <w:rFonts w:ascii="Times New Roman" w:hAnsi="Times New Roman"/>
              </w:rPr>
              <w:t>Universo: 172 usuarios y empresas registrados en plataforma (después de limpieza de base de datos).</w:t>
            </w:r>
          </w:p>
          <w:p w14:paraId="7DB71135" w14:textId="77777777" w:rsidR="00C4235E" w:rsidRPr="007F4E9F" w:rsidRDefault="00C4235E" w:rsidP="000949EC">
            <w:pPr>
              <w:rPr>
                <w:rFonts w:ascii="Times New Roman" w:hAnsi="Times New Roman"/>
              </w:rPr>
            </w:pPr>
            <w:r w:rsidRPr="007F4E9F">
              <w:rPr>
                <w:rFonts w:ascii="Times New Roman" w:hAnsi="Times New Roman"/>
              </w:rPr>
              <w:t>Muestra</w:t>
            </w:r>
            <w:r w:rsidRPr="007F4E9F">
              <w:rPr>
                <w:rFonts w:ascii="Times New Roman" w:hAnsi="Times New Roman"/>
                <w:b/>
                <w:bCs/>
              </w:rPr>
              <w:t>:</w:t>
            </w:r>
            <w:r w:rsidRPr="007F4E9F">
              <w:rPr>
                <w:rFonts w:ascii="Times New Roman" w:hAnsi="Times New Roman"/>
              </w:rPr>
              <w:t xml:space="preserve"> 21 respuestas válidas.</w:t>
            </w:r>
          </w:p>
        </w:tc>
        <w:tc>
          <w:tcPr>
            <w:tcW w:w="2162" w:type="dxa"/>
          </w:tcPr>
          <w:p w14:paraId="731C29B1" w14:textId="77777777" w:rsidR="00C4235E" w:rsidRPr="007F4E9F" w:rsidRDefault="00C4235E" w:rsidP="000949EC">
            <w:pPr>
              <w:rPr>
                <w:rFonts w:ascii="Times New Roman" w:hAnsi="Times New Roman"/>
              </w:rPr>
            </w:pPr>
            <w:r w:rsidRPr="007F4E9F">
              <w:rPr>
                <w:rFonts w:ascii="Times New Roman" w:hAnsi="Times New Roman"/>
              </w:rPr>
              <w:t>Envío: 24/02/2026</w:t>
            </w:r>
          </w:p>
          <w:p w14:paraId="1A786CDB" w14:textId="77777777" w:rsidR="00C4235E" w:rsidRPr="007F4E9F" w:rsidRDefault="00C4235E" w:rsidP="000949EC">
            <w:pPr>
              <w:rPr>
                <w:rFonts w:ascii="Times New Roman" w:hAnsi="Times New Roman"/>
              </w:rPr>
            </w:pPr>
            <w:r w:rsidRPr="007F4E9F">
              <w:rPr>
                <w:rFonts w:ascii="Times New Roman" w:hAnsi="Times New Roman"/>
              </w:rPr>
              <w:t xml:space="preserve">Cierre: </w:t>
            </w:r>
            <w:commentRangeStart w:id="26"/>
            <w:r w:rsidRPr="007F4E9F">
              <w:rPr>
                <w:rFonts w:ascii="Times New Roman" w:hAnsi="Times New Roman"/>
              </w:rPr>
              <w:t>4/03/2026</w:t>
            </w:r>
            <w:commentRangeEnd w:id="26"/>
            <w:r w:rsidR="00CA7DBB" w:rsidRPr="007F4E9F">
              <w:rPr>
                <w:rStyle w:val="CommentReference"/>
                <w:rFonts w:ascii="Times New Roman" w:hAnsi="Times New Roman"/>
                <w:sz w:val="22"/>
                <w:szCs w:val="22"/>
              </w:rPr>
              <w:commentReference w:id="26"/>
            </w:r>
          </w:p>
        </w:tc>
        <w:tc>
          <w:tcPr>
            <w:tcW w:w="2131" w:type="dxa"/>
          </w:tcPr>
          <w:p w14:paraId="18F4C349" w14:textId="77777777" w:rsidR="00C4235E" w:rsidRPr="007F4E9F" w:rsidRDefault="00C4235E" w:rsidP="000949EC">
            <w:pPr>
              <w:rPr>
                <w:rFonts w:ascii="Times New Roman" w:hAnsi="Times New Roman"/>
              </w:rPr>
            </w:pPr>
            <w:r w:rsidRPr="007F4E9F">
              <w:rPr>
                <w:rFonts w:ascii="Times New Roman" w:hAnsi="Times New Roman"/>
              </w:rPr>
              <w:t>12, 2%</w:t>
            </w:r>
          </w:p>
        </w:tc>
      </w:tr>
      <w:tr w:rsidR="00C4235E" w:rsidRPr="007F4E9F" w14:paraId="0414D0A5" w14:textId="77777777" w:rsidTr="000949EC">
        <w:tc>
          <w:tcPr>
            <w:tcW w:w="2150" w:type="dxa"/>
            <w:vAlign w:val="center"/>
          </w:tcPr>
          <w:p w14:paraId="3F7B2AA9" w14:textId="77777777" w:rsidR="00C4235E" w:rsidRPr="007F4E9F" w:rsidRDefault="00C4235E" w:rsidP="000949EC">
            <w:pPr>
              <w:rPr>
                <w:rFonts w:ascii="Times New Roman" w:hAnsi="Times New Roman"/>
              </w:rPr>
            </w:pPr>
            <w:r w:rsidRPr="007F4E9F">
              <w:rPr>
                <w:rFonts w:ascii="Times New Roman" w:hAnsi="Times New Roman" w:cs="Times New Roman"/>
              </w:rPr>
              <w:t>Secretaría Distrital de Ambiente</w:t>
            </w:r>
          </w:p>
        </w:tc>
        <w:tc>
          <w:tcPr>
            <w:tcW w:w="2187" w:type="dxa"/>
          </w:tcPr>
          <w:p w14:paraId="73206EDB" w14:textId="77777777" w:rsidR="00C4235E" w:rsidRPr="007F4E9F" w:rsidRDefault="00C4235E" w:rsidP="000949EC">
            <w:pPr>
              <w:rPr>
                <w:rFonts w:ascii="Times New Roman" w:hAnsi="Times New Roman"/>
              </w:rPr>
            </w:pPr>
            <w:r w:rsidRPr="007F4E9F">
              <w:rPr>
                <w:rFonts w:ascii="Times New Roman" w:hAnsi="Times New Roman"/>
              </w:rPr>
              <w:t>Universo:  2 personas equipo técnico</w:t>
            </w:r>
          </w:p>
          <w:p w14:paraId="3E49CE94" w14:textId="77777777" w:rsidR="00C4235E" w:rsidRPr="007F4E9F" w:rsidRDefault="00C4235E" w:rsidP="000949EC">
            <w:pPr>
              <w:rPr>
                <w:rFonts w:ascii="Times New Roman" w:hAnsi="Times New Roman"/>
              </w:rPr>
            </w:pPr>
            <w:r w:rsidRPr="007F4E9F">
              <w:rPr>
                <w:rFonts w:ascii="Times New Roman" w:hAnsi="Times New Roman"/>
              </w:rPr>
              <w:t xml:space="preserve">Muestra: 2 personas </w:t>
            </w:r>
          </w:p>
        </w:tc>
        <w:tc>
          <w:tcPr>
            <w:tcW w:w="2162" w:type="dxa"/>
          </w:tcPr>
          <w:p w14:paraId="3086E9E5" w14:textId="77777777" w:rsidR="00C4235E" w:rsidRPr="007F4E9F" w:rsidRDefault="00C4235E" w:rsidP="000949EC">
            <w:pPr>
              <w:rPr>
                <w:rFonts w:ascii="Times New Roman" w:hAnsi="Times New Roman"/>
              </w:rPr>
            </w:pPr>
            <w:r w:rsidRPr="007F4E9F">
              <w:rPr>
                <w:rFonts w:ascii="Times New Roman" w:hAnsi="Times New Roman"/>
              </w:rPr>
              <w:t>Ejecución: 2 de marzo de 2025</w:t>
            </w:r>
          </w:p>
        </w:tc>
        <w:tc>
          <w:tcPr>
            <w:tcW w:w="2131" w:type="dxa"/>
          </w:tcPr>
          <w:p w14:paraId="42C7BFC5" w14:textId="77777777" w:rsidR="00C4235E" w:rsidRPr="007F4E9F" w:rsidRDefault="00C4235E" w:rsidP="000949EC">
            <w:pPr>
              <w:rPr>
                <w:rFonts w:ascii="Times New Roman" w:hAnsi="Times New Roman"/>
              </w:rPr>
            </w:pPr>
            <w:commentRangeStart w:id="27"/>
            <w:commentRangeStart w:id="28"/>
            <w:r w:rsidRPr="007F4E9F">
              <w:rPr>
                <w:rFonts w:ascii="Times New Roman" w:hAnsi="Times New Roman"/>
              </w:rPr>
              <w:t>50 %</w:t>
            </w:r>
            <w:commentRangeEnd w:id="27"/>
            <w:r w:rsidR="00CA7DBB" w:rsidRPr="007F4E9F">
              <w:rPr>
                <w:rStyle w:val="CommentReference"/>
                <w:rFonts w:ascii="Times New Roman" w:hAnsi="Times New Roman"/>
                <w:sz w:val="22"/>
                <w:szCs w:val="22"/>
              </w:rPr>
              <w:commentReference w:id="27"/>
            </w:r>
            <w:commentRangeEnd w:id="28"/>
            <w:r w:rsidR="00CA7DBB" w:rsidRPr="007F4E9F">
              <w:rPr>
                <w:rStyle w:val="CommentReference"/>
                <w:rFonts w:ascii="Times New Roman" w:hAnsi="Times New Roman"/>
                <w:sz w:val="22"/>
                <w:szCs w:val="22"/>
              </w:rPr>
              <w:commentReference w:id="28"/>
            </w:r>
          </w:p>
        </w:tc>
      </w:tr>
      <w:tr w:rsidR="00AA49E7" w:rsidRPr="007F4E9F" w14:paraId="1095DB06" w14:textId="77777777" w:rsidTr="000949EC">
        <w:tc>
          <w:tcPr>
            <w:tcW w:w="2150" w:type="dxa"/>
            <w:vAlign w:val="center"/>
          </w:tcPr>
          <w:p w14:paraId="5D42188A" w14:textId="03ED66A2" w:rsidR="00AA49E7" w:rsidRPr="007F4E9F" w:rsidRDefault="00AA49E7" w:rsidP="000949EC">
            <w:pPr>
              <w:rPr>
                <w:rFonts w:ascii="Times New Roman" w:hAnsi="Times New Roman" w:cs="Times New Roman"/>
              </w:rPr>
            </w:pPr>
            <w:commentRangeStart w:id="29"/>
            <w:r w:rsidRPr="007F4E9F">
              <w:rPr>
                <w:rFonts w:ascii="Times New Roman" w:hAnsi="Times New Roman" w:cs="Times New Roman"/>
              </w:rPr>
              <w:t>Banco Interamericano de Desarrollo</w:t>
            </w:r>
            <w:commentRangeEnd w:id="29"/>
            <w:r w:rsidR="0088549B" w:rsidRPr="007F4E9F">
              <w:rPr>
                <w:rStyle w:val="CommentReference"/>
                <w:rFonts w:ascii="Times New Roman" w:hAnsi="Times New Roman" w:cs="Times New Roman"/>
                <w:sz w:val="22"/>
                <w:szCs w:val="22"/>
              </w:rPr>
              <w:commentReference w:id="29"/>
            </w:r>
          </w:p>
        </w:tc>
        <w:tc>
          <w:tcPr>
            <w:tcW w:w="2187" w:type="dxa"/>
          </w:tcPr>
          <w:p w14:paraId="4BB45480" w14:textId="77777777" w:rsidR="00AA49E7" w:rsidRPr="007F4E9F" w:rsidRDefault="00AA49E7" w:rsidP="000949EC">
            <w:pPr>
              <w:rPr>
                <w:rFonts w:ascii="Times New Roman" w:hAnsi="Times New Roman"/>
              </w:rPr>
            </w:pPr>
          </w:p>
        </w:tc>
        <w:tc>
          <w:tcPr>
            <w:tcW w:w="2162" w:type="dxa"/>
          </w:tcPr>
          <w:p w14:paraId="601AA1B1" w14:textId="77777777" w:rsidR="00AA49E7" w:rsidRPr="007F4E9F" w:rsidRDefault="00AA49E7" w:rsidP="000949EC">
            <w:pPr>
              <w:rPr>
                <w:rFonts w:ascii="Times New Roman" w:hAnsi="Times New Roman"/>
              </w:rPr>
            </w:pPr>
          </w:p>
        </w:tc>
        <w:tc>
          <w:tcPr>
            <w:tcW w:w="2131" w:type="dxa"/>
          </w:tcPr>
          <w:p w14:paraId="78B9F26B" w14:textId="77777777" w:rsidR="00AA49E7" w:rsidRPr="007F4E9F" w:rsidRDefault="00AA49E7" w:rsidP="000949EC">
            <w:pPr>
              <w:rPr>
                <w:rFonts w:ascii="Times New Roman" w:hAnsi="Times New Roman"/>
              </w:rPr>
            </w:pPr>
          </w:p>
        </w:tc>
      </w:tr>
      <w:tr w:rsidR="00AA49E7" w:rsidRPr="007F4E9F" w14:paraId="2C529EFB" w14:textId="77777777" w:rsidTr="000949EC">
        <w:tc>
          <w:tcPr>
            <w:tcW w:w="2150" w:type="dxa"/>
            <w:vAlign w:val="center"/>
          </w:tcPr>
          <w:p w14:paraId="5D699D7C" w14:textId="79068716" w:rsidR="00AA49E7" w:rsidRPr="007F4E9F" w:rsidRDefault="00AA49E7" w:rsidP="00AA49E7">
            <w:pPr>
              <w:rPr>
                <w:rFonts w:ascii="Times New Roman" w:hAnsi="Times New Roman" w:cs="Times New Roman"/>
              </w:rPr>
            </w:pPr>
            <w:r w:rsidRPr="007F4E9F">
              <w:rPr>
                <w:rFonts w:ascii="Times New Roman" w:hAnsi="Times New Roman" w:cs="Times New Roman"/>
              </w:rPr>
              <w:t>Empresas consultoras</w:t>
            </w:r>
          </w:p>
        </w:tc>
        <w:tc>
          <w:tcPr>
            <w:tcW w:w="2187" w:type="dxa"/>
          </w:tcPr>
          <w:p w14:paraId="0A793DB9" w14:textId="682C90B7" w:rsidR="00AA49E7" w:rsidRPr="007F4E9F" w:rsidRDefault="00AA49E7" w:rsidP="00AA49E7">
            <w:pPr>
              <w:rPr>
                <w:rFonts w:ascii="Times New Roman" w:hAnsi="Times New Roman"/>
              </w:rPr>
            </w:pPr>
            <w:r w:rsidRPr="007F4E9F">
              <w:rPr>
                <w:rFonts w:ascii="Times New Roman" w:hAnsi="Times New Roman"/>
              </w:rPr>
              <w:t>Universo: 2</w:t>
            </w:r>
          </w:p>
          <w:p w14:paraId="37CB96E8" w14:textId="183FCD5D" w:rsidR="00AA49E7" w:rsidRPr="007F4E9F" w:rsidRDefault="00AA49E7" w:rsidP="00AA49E7">
            <w:pPr>
              <w:rPr>
                <w:rFonts w:ascii="Times New Roman" w:hAnsi="Times New Roman"/>
              </w:rPr>
            </w:pPr>
            <w:r w:rsidRPr="007F4E9F">
              <w:rPr>
                <w:rFonts w:ascii="Times New Roman" w:hAnsi="Times New Roman"/>
              </w:rPr>
              <w:t>Muestra: 1</w:t>
            </w:r>
          </w:p>
        </w:tc>
        <w:tc>
          <w:tcPr>
            <w:tcW w:w="2162" w:type="dxa"/>
          </w:tcPr>
          <w:p w14:paraId="18691B99" w14:textId="37462A2D" w:rsidR="00AA49E7" w:rsidRPr="007F4E9F" w:rsidRDefault="00AA49E7" w:rsidP="00AA49E7">
            <w:pPr>
              <w:rPr>
                <w:rFonts w:ascii="Times New Roman" w:hAnsi="Times New Roman"/>
              </w:rPr>
            </w:pPr>
            <w:commentRangeStart w:id="30"/>
            <w:r w:rsidRPr="007F4E9F">
              <w:rPr>
                <w:rFonts w:ascii="Times New Roman" w:hAnsi="Times New Roman"/>
              </w:rPr>
              <w:t>Ejecución</w:t>
            </w:r>
            <w:commentRangeEnd w:id="30"/>
            <w:r w:rsidR="00CA7DBB" w:rsidRPr="007F4E9F">
              <w:rPr>
                <w:rStyle w:val="CommentReference"/>
                <w:rFonts w:ascii="Times New Roman" w:hAnsi="Times New Roman"/>
                <w:sz w:val="22"/>
                <w:szCs w:val="22"/>
              </w:rPr>
              <w:commentReference w:id="30"/>
            </w:r>
            <w:r w:rsidRPr="007F4E9F">
              <w:rPr>
                <w:rFonts w:ascii="Times New Roman" w:hAnsi="Times New Roman"/>
              </w:rPr>
              <w:t xml:space="preserve">: </w:t>
            </w:r>
          </w:p>
        </w:tc>
        <w:tc>
          <w:tcPr>
            <w:tcW w:w="2131" w:type="dxa"/>
          </w:tcPr>
          <w:p w14:paraId="135483D8" w14:textId="0300E67A" w:rsidR="00AA49E7" w:rsidRPr="007F4E9F" w:rsidRDefault="00AA49E7" w:rsidP="00AA49E7">
            <w:pPr>
              <w:rPr>
                <w:rFonts w:ascii="Times New Roman" w:hAnsi="Times New Roman"/>
              </w:rPr>
            </w:pPr>
            <w:r w:rsidRPr="007F4E9F">
              <w:rPr>
                <w:rFonts w:ascii="Times New Roman" w:hAnsi="Times New Roman"/>
              </w:rPr>
              <w:t>100%</w:t>
            </w:r>
          </w:p>
        </w:tc>
      </w:tr>
      <w:tr w:rsidR="00AA49E7" w:rsidRPr="007F4E9F" w14:paraId="1F7F479D" w14:textId="77777777" w:rsidTr="000949EC">
        <w:tc>
          <w:tcPr>
            <w:tcW w:w="2150" w:type="dxa"/>
            <w:vAlign w:val="center"/>
          </w:tcPr>
          <w:p w14:paraId="434F527D" w14:textId="6467E343" w:rsidR="00AA49E7" w:rsidRPr="007F4E9F" w:rsidRDefault="00AA49E7" w:rsidP="00AA49E7">
            <w:pPr>
              <w:rPr>
                <w:rFonts w:ascii="Times New Roman" w:hAnsi="Times New Roman" w:cs="Times New Roman"/>
              </w:rPr>
            </w:pPr>
            <w:r w:rsidRPr="007F4E9F">
              <w:rPr>
                <w:rFonts w:ascii="Times New Roman" w:hAnsi="Times New Roman" w:cs="Times New Roman"/>
              </w:rPr>
              <w:t>Beneficiarios indirectos</w:t>
            </w:r>
          </w:p>
        </w:tc>
        <w:tc>
          <w:tcPr>
            <w:tcW w:w="2187" w:type="dxa"/>
          </w:tcPr>
          <w:p w14:paraId="0086617A" w14:textId="77777777" w:rsidR="00AA49E7" w:rsidRPr="007F4E9F" w:rsidRDefault="00AA49E7" w:rsidP="00AA49E7">
            <w:pPr>
              <w:rPr>
                <w:rFonts w:ascii="Times New Roman" w:hAnsi="Times New Roman"/>
              </w:rPr>
            </w:pPr>
            <w:r w:rsidRPr="007F4E9F">
              <w:rPr>
                <w:rFonts w:ascii="Times New Roman" w:hAnsi="Times New Roman"/>
              </w:rPr>
              <w:t>Universo: 531 usuarios registrados en los webinars (después de limpieza de base de datos).</w:t>
            </w:r>
          </w:p>
          <w:p w14:paraId="551C5356" w14:textId="3E563A85" w:rsidR="00AA49E7" w:rsidRPr="007F4E9F" w:rsidRDefault="00AA49E7" w:rsidP="00AA49E7">
            <w:pPr>
              <w:rPr>
                <w:rFonts w:ascii="Times New Roman" w:hAnsi="Times New Roman"/>
              </w:rPr>
            </w:pPr>
            <w:r w:rsidRPr="007F4E9F">
              <w:rPr>
                <w:rFonts w:ascii="Times New Roman" w:hAnsi="Times New Roman"/>
              </w:rPr>
              <w:t>Muestra: 28 respuestas válidas.</w:t>
            </w:r>
          </w:p>
        </w:tc>
        <w:tc>
          <w:tcPr>
            <w:tcW w:w="2162" w:type="dxa"/>
          </w:tcPr>
          <w:p w14:paraId="0D0FD8D0" w14:textId="77777777" w:rsidR="00AA49E7" w:rsidRPr="007F4E9F" w:rsidRDefault="00AA49E7" w:rsidP="00AA49E7">
            <w:pPr>
              <w:rPr>
                <w:rFonts w:ascii="Times New Roman" w:hAnsi="Times New Roman"/>
              </w:rPr>
            </w:pPr>
            <w:r w:rsidRPr="007F4E9F">
              <w:rPr>
                <w:rFonts w:ascii="Times New Roman" w:hAnsi="Times New Roman"/>
              </w:rPr>
              <w:t>Envío: 12/03/2026</w:t>
            </w:r>
          </w:p>
          <w:p w14:paraId="3AB5E07C" w14:textId="33FD4FFF" w:rsidR="00AA49E7" w:rsidRPr="007F4E9F" w:rsidRDefault="00AA49E7" w:rsidP="00AA49E7">
            <w:pPr>
              <w:rPr>
                <w:rFonts w:ascii="Times New Roman" w:hAnsi="Times New Roman"/>
              </w:rPr>
            </w:pPr>
            <w:r w:rsidRPr="007F4E9F">
              <w:rPr>
                <w:rFonts w:ascii="Times New Roman" w:hAnsi="Times New Roman"/>
              </w:rPr>
              <w:t>Cierre: 28/03/2026</w:t>
            </w:r>
          </w:p>
        </w:tc>
        <w:tc>
          <w:tcPr>
            <w:tcW w:w="2131" w:type="dxa"/>
          </w:tcPr>
          <w:p w14:paraId="6E71D182" w14:textId="17F2B877" w:rsidR="00AA49E7" w:rsidRPr="007F4E9F" w:rsidRDefault="00AA49E7" w:rsidP="00AA49E7">
            <w:pPr>
              <w:rPr>
                <w:rFonts w:ascii="Times New Roman" w:hAnsi="Times New Roman"/>
              </w:rPr>
            </w:pPr>
            <w:r w:rsidRPr="007F4E9F">
              <w:rPr>
                <w:rFonts w:ascii="Times New Roman" w:hAnsi="Times New Roman"/>
              </w:rPr>
              <w:t>5,3 %</w:t>
            </w:r>
          </w:p>
        </w:tc>
      </w:tr>
      <w:tr w:rsidR="00AA49E7" w:rsidRPr="007F4E9F" w14:paraId="39789EFB" w14:textId="77777777" w:rsidTr="000949EC">
        <w:tc>
          <w:tcPr>
            <w:tcW w:w="2150" w:type="dxa"/>
            <w:vAlign w:val="center"/>
          </w:tcPr>
          <w:p w14:paraId="276EC931" w14:textId="559B6401" w:rsidR="00AA49E7" w:rsidRPr="007F4E9F" w:rsidRDefault="00AA49E7" w:rsidP="00AA49E7">
            <w:pPr>
              <w:rPr>
                <w:rFonts w:ascii="Times New Roman" w:hAnsi="Times New Roman" w:cs="Times New Roman"/>
              </w:rPr>
            </w:pPr>
            <w:commentRangeStart w:id="31"/>
            <w:r w:rsidRPr="007F4E9F">
              <w:rPr>
                <w:rFonts w:ascii="Times New Roman" w:hAnsi="Times New Roman" w:cs="Times New Roman"/>
              </w:rPr>
              <w:t>Expertos en Economía Circular</w:t>
            </w:r>
          </w:p>
        </w:tc>
        <w:tc>
          <w:tcPr>
            <w:tcW w:w="2187" w:type="dxa"/>
          </w:tcPr>
          <w:p w14:paraId="45584BBC" w14:textId="77777777" w:rsidR="00AA49E7" w:rsidRPr="007F4E9F" w:rsidRDefault="00AA49E7" w:rsidP="00AA49E7">
            <w:pPr>
              <w:rPr>
                <w:rFonts w:ascii="Times New Roman" w:hAnsi="Times New Roman"/>
              </w:rPr>
            </w:pPr>
            <w:r w:rsidRPr="007F4E9F">
              <w:rPr>
                <w:rFonts w:ascii="Times New Roman" w:hAnsi="Times New Roman"/>
              </w:rPr>
              <w:t>Universo:</w:t>
            </w:r>
          </w:p>
          <w:p w14:paraId="602925B4" w14:textId="675E4F2D" w:rsidR="00AA49E7" w:rsidRPr="007F4E9F" w:rsidRDefault="00AA49E7" w:rsidP="00AA49E7">
            <w:pPr>
              <w:rPr>
                <w:rFonts w:ascii="Times New Roman" w:hAnsi="Times New Roman"/>
              </w:rPr>
            </w:pPr>
            <w:r w:rsidRPr="007F4E9F">
              <w:rPr>
                <w:rFonts w:ascii="Times New Roman" w:hAnsi="Times New Roman"/>
              </w:rPr>
              <w:t>Muestra:</w:t>
            </w:r>
          </w:p>
        </w:tc>
        <w:tc>
          <w:tcPr>
            <w:tcW w:w="2162" w:type="dxa"/>
          </w:tcPr>
          <w:p w14:paraId="2598607B" w14:textId="2810500F" w:rsidR="00AA49E7" w:rsidRPr="007F4E9F" w:rsidRDefault="00AA49E7" w:rsidP="00AA49E7">
            <w:pPr>
              <w:rPr>
                <w:rFonts w:ascii="Times New Roman" w:hAnsi="Times New Roman"/>
              </w:rPr>
            </w:pPr>
            <w:r w:rsidRPr="007F4E9F">
              <w:rPr>
                <w:rFonts w:ascii="Times New Roman" w:hAnsi="Times New Roman"/>
              </w:rPr>
              <w:t xml:space="preserve">Ejecución: </w:t>
            </w:r>
          </w:p>
        </w:tc>
        <w:tc>
          <w:tcPr>
            <w:tcW w:w="2131" w:type="dxa"/>
          </w:tcPr>
          <w:p w14:paraId="61BA0C59" w14:textId="14DC19B5" w:rsidR="00AA49E7" w:rsidRPr="007F4E9F" w:rsidRDefault="00AA49E7" w:rsidP="00AA49E7">
            <w:pPr>
              <w:rPr>
                <w:rFonts w:ascii="Times New Roman" w:hAnsi="Times New Roman"/>
              </w:rPr>
            </w:pPr>
            <w:r w:rsidRPr="007F4E9F">
              <w:rPr>
                <w:rFonts w:ascii="Times New Roman" w:hAnsi="Times New Roman"/>
              </w:rPr>
              <w:t>%</w:t>
            </w:r>
            <w:commentRangeEnd w:id="31"/>
            <w:r w:rsidR="0088549B" w:rsidRPr="007F4E9F">
              <w:rPr>
                <w:rStyle w:val="CommentReference"/>
                <w:rFonts w:ascii="Times New Roman" w:hAnsi="Times New Roman"/>
                <w:sz w:val="22"/>
                <w:szCs w:val="22"/>
              </w:rPr>
              <w:commentReference w:id="31"/>
            </w:r>
          </w:p>
        </w:tc>
      </w:tr>
      <w:tr w:rsidR="00AA49E7" w:rsidRPr="007F4E9F" w14:paraId="79DC1039" w14:textId="77777777" w:rsidTr="000949EC">
        <w:tc>
          <w:tcPr>
            <w:tcW w:w="2150" w:type="dxa"/>
            <w:vAlign w:val="center"/>
          </w:tcPr>
          <w:p w14:paraId="0711A369" w14:textId="77777777" w:rsidR="00AA49E7" w:rsidRPr="007F4E9F" w:rsidRDefault="00AA49E7" w:rsidP="00AA49E7">
            <w:pPr>
              <w:rPr>
                <w:rFonts w:ascii="Times New Roman" w:hAnsi="Times New Roman" w:cs="Times New Roman"/>
              </w:rPr>
            </w:pPr>
          </w:p>
        </w:tc>
        <w:tc>
          <w:tcPr>
            <w:tcW w:w="2187" w:type="dxa"/>
          </w:tcPr>
          <w:p w14:paraId="4AB69F0D" w14:textId="77777777" w:rsidR="00AA49E7" w:rsidRPr="007F4E9F" w:rsidRDefault="00AA49E7" w:rsidP="00AA49E7">
            <w:pPr>
              <w:rPr>
                <w:rFonts w:ascii="Times New Roman" w:hAnsi="Times New Roman"/>
              </w:rPr>
            </w:pPr>
          </w:p>
        </w:tc>
        <w:tc>
          <w:tcPr>
            <w:tcW w:w="2162" w:type="dxa"/>
          </w:tcPr>
          <w:p w14:paraId="5B00A07F" w14:textId="77777777" w:rsidR="00AA49E7" w:rsidRPr="007F4E9F" w:rsidRDefault="00AA49E7" w:rsidP="00AA49E7">
            <w:pPr>
              <w:rPr>
                <w:rFonts w:ascii="Times New Roman" w:hAnsi="Times New Roman"/>
              </w:rPr>
            </w:pPr>
          </w:p>
        </w:tc>
        <w:tc>
          <w:tcPr>
            <w:tcW w:w="2131" w:type="dxa"/>
          </w:tcPr>
          <w:p w14:paraId="4219FBC2" w14:textId="77777777" w:rsidR="00AA49E7" w:rsidRPr="007F4E9F" w:rsidRDefault="00AA49E7" w:rsidP="00AA49E7">
            <w:pPr>
              <w:rPr>
                <w:rFonts w:ascii="Times New Roman" w:hAnsi="Times New Roman"/>
              </w:rPr>
            </w:pPr>
          </w:p>
        </w:tc>
      </w:tr>
    </w:tbl>
    <w:p w14:paraId="2D9508E2" w14:textId="77777777" w:rsidR="00C4235E" w:rsidRPr="007F4E9F" w:rsidRDefault="00C4235E" w:rsidP="00C4235E">
      <w:pPr>
        <w:spacing w:line="240" w:lineRule="auto"/>
        <w:jc w:val="both"/>
        <w:rPr>
          <w:rFonts w:ascii="Times New Roman" w:hAnsi="Times New Roman" w:cs="Times New Roman"/>
        </w:rPr>
      </w:pPr>
      <w:r w:rsidRPr="007F4E9F">
        <w:rPr>
          <w:rFonts w:ascii="Times New Roman" w:hAnsi="Times New Roman" w:cs="Times New Roman"/>
        </w:rPr>
        <w:t>Fuente: elaboración propia</w:t>
      </w:r>
    </w:p>
    <w:p w14:paraId="49828FC1" w14:textId="77777777" w:rsidR="00C4235E" w:rsidRPr="007F4E9F" w:rsidRDefault="00C4235E" w:rsidP="00C4235E">
      <w:pPr>
        <w:spacing w:line="240" w:lineRule="auto"/>
        <w:jc w:val="both"/>
        <w:rPr>
          <w:rFonts w:ascii="Times New Roman" w:hAnsi="Times New Roman"/>
        </w:rPr>
      </w:pPr>
      <w:r w:rsidRPr="007F4E9F">
        <w:rPr>
          <w:rFonts w:ascii="Times New Roman" w:hAnsi="Times New Roman"/>
        </w:rPr>
        <w:t>Para el análisis e interpretación de los resultados de los instrumentos aplicados, se reconocen e integran las siguientes limitaciones metodológicas y posibles sesgos:</w:t>
      </w:r>
    </w:p>
    <w:p w14:paraId="30D1CE29" w14:textId="77777777" w:rsidR="00C4235E" w:rsidRPr="007F4E9F" w:rsidRDefault="00C4235E" w:rsidP="005C3660">
      <w:pPr>
        <w:pStyle w:val="ListParagraph"/>
        <w:numPr>
          <w:ilvl w:val="0"/>
          <w:numId w:val="17"/>
        </w:numPr>
        <w:spacing w:line="240" w:lineRule="auto"/>
        <w:jc w:val="both"/>
        <w:rPr>
          <w:rFonts w:ascii="Times New Roman" w:hAnsi="Times New Roman"/>
        </w:rPr>
      </w:pPr>
      <w:r w:rsidRPr="007F4E9F">
        <w:rPr>
          <w:rFonts w:ascii="Times New Roman" w:hAnsi="Times New Roman"/>
        </w:rPr>
        <w:t>Sesgo de autoselección: en las encuestas digitales dirigidas a usuarios y beneficiarios indirectos, existe la probabilidad de que hayan respondido aquellos actores con opiniones más polarizadas sobre la plataforma (ya sea un alto nivel de involucramiento o un alto nivel de frustración operativa), dejando subrepresentada a la mayoría silenciosa que simplemente abandonó la herramienta.</w:t>
      </w:r>
    </w:p>
    <w:p w14:paraId="7BDEB5B6" w14:textId="77777777" w:rsidR="00C4235E" w:rsidRPr="007F4E9F" w:rsidRDefault="00C4235E" w:rsidP="005C3660">
      <w:pPr>
        <w:pStyle w:val="ListParagraph"/>
        <w:numPr>
          <w:ilvl w:val="0"/>
          <w:numId w:val="17"/>
        </w:numPr>
        <w:spacing w:line="240" w:lineRule="auto"/>
        <w:jc w:val="both"/>
        <w:rPr>
          <w:rFonts w:ascii="Times New Roman" w:hAnsi="Times New Roman"/>
        </w:rPr>
      </w:pPr>
      <w:r w:rsidRPr="007F4E9F">
        <w:rPr>
          <w:rFonts w:ascii="Times New Roman" w:hAnsi="Times New Roman"/>
        </w:rPr>
        <w:t>Sesgo de memoria: especialmente en la evaluación de los beneficiarios indirectos, las preguntas sobre la pertinencia y calidad de los webinars exigían a los participantes recordar eventos formativos que ocurrieron meses atrás, lo que puede generar ligeras imprecisiones en la valoración de los detalles.</w:t>
      </w:r>
    </w:p>
    <w:p w14:paraId="29EDF783" w14:textId="77777777" w:rsidR="00C4235E" w:rsidRPr="007F4E9F" w:rsidRDefault="00C4235E" w:rsidP="005C3660">
      <w:pPr>
        <w:pStyle w:val="ListParagraph"/>
        <w:numPr>
          <w:ilvl w:val="0"/>
          <w:numId w:val="17"/>
        </w:numPr>
        <w:spacing w:line="240" w:lineRule="auto"/>
        <w:jc w:val="both"/>
        <w:rPr>
          <w:rFonts w:ascii="Times New Roman" w:hAnsi="Times New Roman"/>
        </w:rPr>
      </w:pPr>
      <w:r w:rsidRPr="007F4E9F">
        <w:rPr>
          <w:rFonts w:ascii="Times New Roman" w:hAnsi="Times New Roman"/>
        </w:rPr>
        <w:t>Sesgo de deseabilidad social en entrevistas: en los espacios cualitativos desarrollados con el equipo ejecutor (SDA) y las empresas consultoras, existe el riesgo natural de que los actores enfaticen los logros técnicos del proyecto y minimicen las fallas operativas estructurales para proteger el prestigio institucional. Para mitigar esta limitación, la evaluación trianguló sus declaraciones cualitativas directamente con la métrica dura transaccional de la plataforma.</w:t>
      </w:r>
    </w:p>
    <w:p w14:paraId="293D21C0" w14:textId="77777777" w:rsidR="00C4235E" w:rsidRPr="007F4E9F" w:rsidRDefault="00C4235E" w:rsidP="005C3660">
      <w:pPr>
        <w:pStyle w:val="ListParagraph"/>
        <w:numPr>
          <w:ilvl w:val="0"/>
          <w:numId w:val="17"/>
        </w:numPr>
        <w:spacing w:line="240" w:lineRule="auto"/>
        <w:jc w:val="both"/>
        <w:rPr>
          <w:rFonts w:ascii="Times New Roman" w:hAnsi="Times New Roman"/>
        </w:rPr>
      </w:pPr>
      <w:r w:rsidRPr="007F4E9F">
        <w:rPr>
          <w:rFonts w:ascii="Times New Roman" w:hAnsi="Times New Roman"/>
        </w:rPr>
        <w:t>Limitación de alcance geográfico: como se evidenció en la muestra recolectada, la tasa de respuesta internacional fue marginal. Esto limita la capacidad de la evaluación para emitir conclusiones estadísticamente representativas sobre la apropiación del Marketplace en Lima, Quito o Santiago de Chile, centrando el diagnóstico operativo principalmente en el ecosistema de Bogotá.</w:t>
      </w:r>
    </w:p>
    <w:p w14:paraId="333DFA20" w14:textId="6BB15DD6" w:rsidR="001E46EF" w:rsidRPr="007F4E9F" w:rsidRDefault="001E46EF" w:rsidP="001E46EF">
      <w:pPr>
        <w:rPr>
          <w:rFonts w:ascii="Times New Roman" w:hAnsi="Times New Roman"/>
        </w:rPr>
      </w:pPr>
    </w:p>
    <w:p w14:paraId="0E69CE23" w14:textId="1A763328" w:rsidR="001E46EF" w:rsidRPr="007F4E9F" w:rsidRDefault="001E46EF" w:rsidP="001E46EF">
      <w:pPr>
        <w:rPr>
          <w:rFonts w:ascii="Times New Roman" w:hAnsi="Times New Roman"/>
        </w:rPr>
      </w:pPr>
      <w:r w:rsidRPr="007F4E9F">
        <w:rPr>
          <w:rFonts w:ascii="Times New Roman" w:hAnsi="Times New Roman"/>
          <w:b/>
          <w:bCs/>
        </w:rPr>
        <w:t>Nota:</w:t>
      </w:r>
      <w:r w:rsidRPr="007F4E9F">
        <w:rPr>
          <w:rFonts w:ascii="Times New Roman" w:hAnsi="Times New Roman"/>
        </w:rPr>
        <w:t xml:space="preserve"> </w:t>
      </w:r>
      <w:r w:rsidR="00C4235E" w:rsidRPr="007F4E9F">
        <w:rPr>
          <w:rFonts w:ascii="Times New Roman" w:hAnsi="Times New Roman"/>
        </w:rPr>
        <w:t>se utilizaron herramientas de IA únicamente para apoyo editorial no sustantivo. Todos los contenidos analíticos, hallazgos y juicios evaluativos fueron verificados y validados por el consultor.</w:t>
      </w:r>
    </w:p>
    <w:p w14:paraId="43CFE057" w14:textId="76B5B06B" w:rsidR="007C5888" w:rsidRPr="007F4E9F" w:rsidRDefault="007C5888" w:rsidP="0032235A">
      <w:pPr>
        <w:pStyle w:val="Heading1"/>
        <w:jc w:val="both"/>
        <w:rPr>
          <w:rFonts w:ascii="Times New Roman" w:hAnsi="Times New Roman" w:cs="Times New Roman"/>
          <w:sz w:val="22"/>
          <w:szCs w:val="22"/>
        </w:rPr>
      </w:pPr>
      <w:bookmarkStart w:id="32" w:name="_Toc226750184"/>
      <w:r w:rsidRPr="007F4E9F">
        <w:rPr>
          <w:rFonts w:ascii="Times New Roman" w:hAnsi="Times New Roman" w:cs="Times New Roman"/>
          <w:sz w:val="22"/>
          <w:szCs w:val="22"/>
        </w:rPr>
        <w:t>Resultados generales por componente</w:t>
      </w:r>
      <w:bookmarkEnd w:id="32"/>
    </w:p>
    <w:p w14:paraId="58F8293E" w14:textId="0BB8A50E" w:rsidR="007C5888" w:rsidRPr="007F4E9F" w:rsidRDefault="007C5888" w:rsidP="0032235A">
      <w:pPr>
        <w:jc w:val="both"/>
        <w:rPr>
          <w:rFonts w:ascii="Times New Roman" w:hAnsi="Times New Roman" w:cs="Times New Roman"/>
        </w:rPr>
      </w:pPr>
      <w:r w:rsidRPr="007F4E9F">
        <w:rPr>
          <w:rFonts w:ascii="Times New Roman" w:hAnsi="Times New Roman" w:cs="Times New Roman"/>
        </w:rPr>
        <w:t xml:space="preserve">Antes de aplicar los criterios a cada componente, </w:t>
      </w:r>
      <w:r w:rsidR="00C4235E" w:rsidRPr="007F4E9F">
        <w:rPr>
          <w:rFonts w:ascii="Times New Roman" w:hAnsi="Times New Roman" w:cs="Times New Roman"/>
        </w:rPr>
        <w:t>, con un carácter ilustrativo, es conveniente presentar un resumen de cada uno</w:t>
      </w:r>
      <w:r w:rsidRPr="007F4E9F">
        <w:rPr>
          <w:rFonts w:ascii="Times New Roman" w:hAnsi="Times New Roman" w:cs="Times New Roman"/>
        </w:rPr>
        <w:t xml:space="preserve">, con el fin de ilustrar los resultados generales del proyecto. </w:t>
      </w:r>
      <w:r w:rsidR="00DB04E1" w:rsidRPr="007F4E9F">
        <w:rPr>
          <w:rFonts w:ascii="Times New Roman" w:hAnsi="Times New Roman" w:cs="Times New Roman"/>
        </w:rPr>
        <w:t>Posteriormente</w:t>
      </w:r>
      <w:r w:rsidRPr="007F4E9F">
        <w:rPr>
          <w:rFonts w:ascii="Times New Roman" w:hAnsi="Times New Roman" w:cs="Times New Roman"/>
        </w:rPr>
        <w:t xml:space="preserve">, en la </w:t>
      </w:r>
      <w:r w:rsidR="00DB04E1" w:rsidRPr="007F4E9F">
        <w:rPr>
          <w:rFonts w:ascii="Times New Roman" w:hAnsi="Times New Roman" w:cs="Times New Roman"/>
        </w:rPr>
        <w:t>aplicación</w:t>
      </w:r>
      <w:r w:rsidRPr="007F4E9F">
        <w:rPr>
          <w:rFonts w:ascii="Times New Roman" w:hAnsi="Times New Roman" w:cs="Times New Roman"/>
        </w:rPr>
        <w:t xml:space="preserve"> de cada criterio se </w:t>
      </w:r>
      <w:r w:rsidR="00DB04E1" w:rsidRPr="007F4E9F">
        <w:rPr>
          <w:rFonts w:ascii="Times New Roman" w:hAnsi="Times New Roman" w:cs="Times New Roman"/>
        </w:rPr>
        <w:t>abordarán</w:t>
      </w:r>
      <w:r w:rsidRPr="007F4E9F">
        <w:rPr>
          <w:rFonts w:ascii="Times New Roman" w:hAnsi="Times New Roman" w:cs="Times New Roman"/>
        </w:rPr>
        <w:t xml:space="preserve"> elementos </w:t>
      </w:r>
      <w:r w:rsidR="00DB04E1" w:rsidRPr="007F4E9F">
        <w:rPr>
          <w:rFonts w:ascii="Times New Roman" w:hAnsi="Times New Roman" w:cs="Times New Roman"/>
        </w:rPr>
        <w:t>específicos</w:t>
      </w:r>
      <w:r w:rsidRPr="007F4E9F">
        <w:rPr>
          <w:rFonts w:ascii="Times New Roman" w:hAnsi="Times New Roman" w:cs="Times New Roman"/>
        </w:rPr>
        <w:t xml:space="preserve"> de cada componente. </w:t>
      </w:r>
    </w:p>
    <w:p w14:paraId="14D06598" w14:textId="447D0B04" w:rsidR="007C5888" w:rsidRPr="007F4E9F" w:rsidRDefault="007C5888" w:rsidP="0032235A">
      <w:pPr>
        <w:pStyle w:val="Heading2"/>
        <w:jc w:val="both"/>
        <w:rPr>
          <w:rFonts w:ascii="Times New Roman" w:hAnsi="Times New Roman" w:cs="Times New Roman"/>
          <w:sz w:val="22"/>
          <w:szCs w:val="22"/>
        </w:rPr>
      </w:pPr>
      <w:bookmarkStart w:id="33" w:name="_Toc226750185"/>
      <w:r w:rsidRPr="007F4E9F">
        <w:rPr>
          <w:rFonts w:ascii="Times New Roman" w:hAnsi="Times New Roman" w:cs="Times New Roman"/>
          <w:sz w:val="22"/>
          <w:szCs w:val="22"/>
        </w:rPr>
        <w:t>Componente 1: Diseño y operación de una plataforma de economía circular</w:t>
      </w:r>
      <w:bookmarkEnd w:id="33"/>
    </w:p>
    <w:p w14:paraId="7AD3234A" w14:textId="704EF79F" w:rsidR="003B72C8" w:rsidRPr="007F4E9F" w:rsidRDefault="003B72C8" w:rsidP="0032235A">
      <w:pPr>
        <w:jc w:val="both"/>
        <w:rPr>
          <w:rFonts w:ascii="Times New Roman" w:hAnsi="Times New Roman" w:cs="Times New Roman"/>
        </w:rPr>
      </w:pPr>
      <w:r w:rsidRPr="007F4E9F">
        <w:rPr>
          <w:rFonts w:ascii="Times New Roman" w:hAnsi="Times New Roman" w:cs="Times New Roman"/>
        </w:rPr>
        <w:t>La Plataforma Colaborativa Regional de Economía Circular es un entorno digital tipo Marketplace diseñado específicamente para el sector empresarial de Bogotá, Quito, Lima y Santiago de Chile. Su objetivo es centralizar y facilitar el intercambio de residuos, subproductos y materiales reutilizables. La herramienta se encuentra alojada bajo el dominio web: https://ecmarketplacelatam.com/, funcionando como un punto de encuentro (B2B) accesible desde cualquier navegador estándar.</w:t>
      </w:r>
    </w:p>
    <w:p w14:paraId="701BE751" w14:textId="77777777" w:rsidR="00EF2F17" w:rsidRPr="007F4E9F" w:rsidRDefault="003B72C8" w:rsidP="0032235A">
      <w:pPr>
        <w:keepNext/>
        <w:jc w:val="both"/>
        <w:rPr>
          <w:rFonts w:ascii="Times New Roman" w:hAnsi="Times New Roman" w:cs="Times New Roman"/>
        </w:rPr>
      </w:pPr>
      <w:r w:rsidRPr="007F4E9F">
        <w:rPr>
          <w:rFonts w:ascii="Times New Roman" w:hAnsi="Times New Roman" w:cs="Times New Roman"/>
          <w:noProof/>
        </w:rPr>
        <w:drawing>
          <wp:inline distT="0" distB="0" distL="0" distR="0" wp14:anchorId="16037ACA" wp14:editId="26C533F7">
            <wp:extent cx="5486400" cy="2357755"/>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86400" cy="2357755"/>
                    </a:xfrm>
                    <a:prstGeom prst="rect">
                      <a:avLst/>
                    </a:prstGeom>
                  </pic:spPr>
                </pic:pic>
              </a:graphicData>
            </a:graphic>
          </wp:inline>
        </w:drawing>
      </w:r>
    </w:p>
    <w:p w14:paraId="207E884C" w14:textId="5D238646" w:rsidR="003B72C8" w:rsidRPr="007F4E9F" w:rsidRDefault="00EF2F17" w:rsidP="0032235A">
      <w:pPr>
        <w:pStyle w:val="Caption"/>
        <w:jc w:val="both"/>
        <w:rPr>
          <w:rFonts w:ascii="Times New Roman" w:hAnsi="Times New Roman" w:cs="Times New Roman"/>
          <w:i/>
          <w:iCs/>
          <w:sz w:val="22"/>
          <w:szCs w:val="22"/>
        </w:rPr>
      </w:pPr>
      <w:bookmarkStart w:id="34" w:name="_Toc225848241"/>
      <w:r w:rsidRPr="007F4E9F">
        <w:rPr>
          <w:rFonts w:ascii="Times New Roman" w:hAnsi="Times New Roman" w:cs="Times New Roman"/>
          <w:sz w:val="22"/>
          <w:szCs w:val="22"/>
        </w:rPr>
        <w:t xml:space="preserve">Figura </w:t>
      </w:r>
      <w:r w:rsidR="00AD38CF" w:rsidRPr="007F4E9F">
        <w:rPr>
          <w:rFonts w:ascii="Times New Roman" w:hAnsi="Times New Roman" w:cs="Times New Roman"/>
          <w:sz w:val="22"/>
          <w:szCs w:val="22"/>
        </w:rPr>
        <w:fldChar w:fldCharType="begin"/>
      </w:r>
      <w:r w:rsidR="00AD38CF" w:rsidRPr="007F4E9F">
        <w:rPr>
          <w:rFonts w:ascii="Times New Roman" w:hAnsi="Times New Roman" w:cs="Times New Roman"/>
          <w:sz w:val="22"/>
          <w:szCs w:val="22"/>
        </w:rPr>
        <w:instrText xml:space="preserve"> SEQ Figura \* ARABIC </w:instrText>
      </w:r>
      <w:r w:rsidR="00AD38CF" w:rsidRPr="007F4E9F">
        <w:rPr>
          <w:rFonts w:ascii="Times New Roman" w:hAnsi="Times New Roman" w:cs="Times New Roman"/>
          <w:sz w:val="22"/>
          <w:szCs w:val="22"/>
        </w:rPr>
        <w:fldChar w:fldCharType="separate"/>
      </w:r>
      <w:r w:rsidR="00966267" w:rsidRPr="007F4E9F">
        <w:rPr>
          <w:rFonts w:ascii="Times New Roman" w:hAnsi="Times New Roman" w:cs="Times New Roman"/>
          <w:noProof/>
          <w:sz w:val="22"/>
          <w:szCs w:val="22"/>
        </w:rPr>
        <w:t>1</w:t>
      </w:r>
      <w:r w:rsidR="00AD38CF" w:rsidRPr="007F4E9F">
        <w:rPr>
          <w:rFonts w:ascii="Times New Roman" w:hAnsi="Times New Roman" w:cs="Times New Roman"/>
          <w:sz w:val="22"/>
          <w:szCs w:val="22"/>
        </w:rPr>
        <w:fldChar w:fldCharType="end"/>
      </w:r>
      <w:r w:rsidRPr="007F4E9F">
        <w:rPr>
          <w:rFonts w:ascii="Times New Roman" w:hAnsi="Times New Roman" w:cs="Times New Roman"/>
          <w:sz w:val="22"/>
          <w:szCs w:val="22"/>
        </w:rPr>
        <w:t xml:space="preserve"> </w:t>
      </w:r>
      <w:r w:rsidRPr="007F4E9F">
        <w:rPr>
          <w:rFonts w:ascii="Times New Roman" w:hAnsi="Times New Roman" w:cs="Times New Roman"/>
          <w:i/>
          <w:iCs/>
          <w:sz w:val="22"/>
          <w:szCs w:val="22"/>
        </w:rPr>
        <w:t>Página web plataforma regional de economía circular</w:t>
      </w:r>
      <w:bookmarkEnd w:id="34"/>
    </w:p>
    <w:p w14:paraId="2CC6A1E2" w14:textId="77777777" w:rsidR="002060FD" w:rsidRPr="007F4E9F" w:rsidRDefault="002060FD" w:rsidP="002060FD">
      <w:pPr>
        <w:spacing w:line="240" w:lineRule="auto"/>
        <w:rPr>
          <w:rFonts w:ascii="Times New Roman" w:hAnsi="Times New Roman"/>
        </w:rPr>
      </w:pPr>
      <w:r w:rsidRPr="007F4E9F">
        <w:rPr>
          <w:rFonts w:ascii="Times New Roman" w:hAnsi="Times New Roman"/>
        </w:rPr>
        <w:t xml:space="preserve">Fuente: </w:t>
      </w:r>
      <w:r w:rsidRPr="007F4E9F">
        <w:rPr>
          <w:rStyle w:val="Heading1Char"/>
          <w:rFonts w:ascii="Times New Roman" w:hAnsi="Times New Roman"/>
        </w:rPr>
        <w:t xml:space="preserve"> </w:t>
      </w:r>
      <w:r w:rsidRPr="007F4E9F">
        <w:rPr>
          <w:rStyle w:val="Emphasis"/>
          <w:rFonts w:ascii="Times New Roman" w:hAnsi="Times New Roman"/>
        </w:rPr>
        <w:t>Plataforma Regional de Economía Circular</w:t>
      </w:r>
      <w:r w:rsidRPr="007F4E9F">
        <w:rPr>
          <w:rFonts w:ascii="Times New Roman" w:hAnsi="Times New Roman"/>
        </w:rPr>
        <w:t xml:space="preserve">, por </w:t>
      </w:r>
      <w:r w:rsidRPr="007F4E9F">
        <w:rPr>
          <w:rStyle w:val="whitespace-normal"/>
          <w:rFonts w:ascii="Times New Roman" w:hAnsi="Times New Roman"/>
        </w:rPr>
        <w:t>Plataforma Regional de Economía Circular</w:t>
      </w:r>
      <w:r w:rsidRPr="007F4E9F">
        <w:rPr>
          <w:rFonts w:ascii="Times New Roman" w:hAnsi="Times New Roman"/>
        </w:rPr>
        <w:t xml:space="preserve">, s. f., </w:t>
      </w:r>
      <w:hyperlink r:id="rId11" w:tgtFrame="_new" w:history="1">
        <w:r w:rsidRPr="007F4E9F">
          <w:rPr>
            <w:rStyle w:val="Hyperlink"/>
            <w:rFonts w:ascii="Times New Roman" w:hAnsi="Times New Roman"/>
          </w:rPr>
          <w:t>https://ecmarketplacelatam.com/</w:t>
        </w:r>
      </w:hyperlink>
    </w:p>
    <w:p w14:paraId="07FE2F22" w14:textId="77777777" w:rsidR="002060FD" w:rsidRPr="007F4E9F" w:rsidRDefault="002060FD" w:rsidP="0032235A">
      <w:pPr>
        <w:jc w:val="both"/>
        <w:rPr>
          <w:rFonts w:ascii="Times New Roman" w:hAnsi="Times New Roman" w:cs="Times New Roman"/>
        </w:rPr>
      </w:pPr>
    </w:p>
    <w:p w14:paraId="0A29FFCC" w14:textId="5DE72834" w:rsidR="004D260C" w:rsidRPr="007F4E9F" w:rsidRDefault="003B72C8" w:rsidP="0032235A">
      <w:pPr>
        <w:jc w:val="both"/>
        <w:rPr>
          <w:rFonts w:ascii="Times New Roman" w:hAnsi="Times New Roman" w:cs="Times New Roman"/>
        </w:rPr>
      </w:pPr>
      <w:r w:rsidRPr="007F4E9F">
        <w:rPr>
          <w:rFonts w:ascii="Times New Roman" w:hAnsi="Times New Roman" w:cs="Times New Roman"/>
        </w:rPr>
        <w:t xml:space="preserve">Al ingresar al portal, el usuario es recibido por una interfaz de diseño limpio e intuitivo, caracterizada por una paleta de colores en tonos verdes, blancos y neutros que evocan la sostenibilidad y el cuidado ambiental. La pantalla de inicio (Home) está estructurada para guiar la atención del visitante hacia la acción principal, que es el intercambio de materiales. </w:t>
      </w:r>
    </w:p>
    <w:p w14:paraId="10FDCB3E" w14:textId="4F299AF1" w:rsidR="003B72C8" w:rsidRPr="007F4E9F" w:rsidRDefault="003B72C8" w:rsidP="0032235A">
      <w:pPr>
        <w:jc w:val="both"/>
        <w:rPr>
          <w:rFonts w:ascii="Times New Roman" w:hAnsi="Times New Roman" w:cs="Times New Roman"/>
        </w:rPr>
      </w:pPr>
      <w:r w:rsidRPr="007F4E9F">
        <w:rPr>
          <w:rFonts w:ascii="Times New Roman" w:hAnsi="Times New Roman" w:cs="Times New Roman"/>
        </w:rPr>
        <w:t>Cuenta con un menú superior de navegación estático que permite desplazarse rápidamente entre el inicio, el catálogo de productos, el panel de usuario y las secciones de contenido informativo o pedagógico sobre economía circular.</w:t>
      </w:r>
    </w:p>
    <w:p w14:paraId="736AB8A7" w14:textId="77777777" w:rsidR="003B72C8" w:rsidRPr="007F4E9F" w:rsidRDefault="003B72C8" w:rsidP="0032235A">
      <w:pPr>
        <w:jc w:val="both"/>
        <w:rPr>
          <w:rFonts w:ascii="Times New Roman" w:hAnsi="Times New Roman" w:cs="Times New Roman"/>
        </w:rPr>
      </w:pPr>
      <w:r w:rsidRPr="007F4E9F">
        <w:rPr>
          <w:rFonts w:ascii="Times New Roman" w:hAnsi="Times New Roman" w:cs="Times New Roman"/>
        </w:rPr>
        <w:t>La arquitectura de la plataforma permite a una empresa realizar un ciclo completo de interacción comercial no transaccional a través de los siguientes módulos:</w:t>
      </w:r>
    </w:p>
    <w:p w14:paraId="603AC22C" w14:textId="77777777" w:rsidR="003B72C8" w:rsidRPr="007F4E9F" w:rsidRDefault="003B72C8" w:rsidP="005C3660">
      <w:pPr>
        <w:pStyle w:val="ListParagraph"/>
        <w:numPr>
          <w:ilvl w:val="0"/>
          <w:numId w:val="9"/>
        </w:numPr>
        <w:spacing w:after="160" w:line="259" w:lineRule="auto"/>
        <w:jc w:val="both"/>
        <w:rPr>
          <w:rFonts w:ascii="Times New Roman" w:hAnsi="Times New Roman" w:cs="Times New Roman"/>
        </w:rPr>
      </w:pPr>
      <w:r w:rsidRPr="007F4E9F">
        <w:rPr>
          <w:rFonts w:ascii="Times New Roman" w:hAnsi="Times New Roman" w:cs="Times New Roman"/>
          <w:b/>
          <w:bCs/>
        </w:rPr>
        <w:t>Registro y perfil corporativo:</w:t>
      </w:r>
      <w:r w:rsidRPr="007F4E9F">
        <w:rPr>
          <w:rFonts w:ascii="Times New Roman" w:hAnsi="Times New Roman" w:cs="Times New Roman"/>
        </w:rPr>
        <w:t xml:space="preserve"> el primer paso para interactuar es la creación de una cuenta. La empresa diligencia un formulario con sus datos básicos, ciudad de operación y sector económico, creando un perfil institucional que le dará identidad y respaldo frente a los demás actores de la red.</w:t>
      </w:r>
    </w:p>
    <w:p w14:paraId="4937F437" w14:textId="77777777" w:rsidR="003B72C8" w:rsidRPr="007F4E9F" w:rsidRDefault="003B72C8" w:rsidP="005C3660">
      <w:pPr>
        <w:pStyle w:val="ListParagraph"/>
        <w:numPr>
          <w:ilvl w:val="0"/>
          <w:numId w:val="9"/>
        </w:numPr>
        <w:spacing w:after="160" w:line="259" w:lineRule="auto"/>
        <w:jc w:val="both"/>
        <w:rPr>
          <w:rFonts w:ascii="Times New Roman" w:hAnsi="Times New Roman" w:cs="Times New Roman"/>
        </w:rPr>
      </w:pPr>
      <w:r w:rsidRPr="007F4E9F">
        <w:rPr>
          <w:rFonts w:ascii="Times New Roman" w:hAnsi="Times New Roman" w:cs="Times New Roman"/>
          <w:b/>
          <w:bCs/>
        </w:rPr>
        <w:t>Exploración del catálogo (vitrina):</w:t>
      </w:r>
      <w:r w:rsidRPr="007F4E9F">
        <w:rPr>
          <w:rFonts w:ascii="Times New Roman" w:hAnsi="Times New Roman" w:cs="Times New Roman"/>
        </w:rPr>
        <w:t xml:space="preserve"> en esta ventana, los usuarios pueden visualizar el inventario de materiales disponibles o requeridos en la región. El sistema cuenta con filtros de búsqueda que permiten segmentar los resultados por ciudad o por sectores económicos priorizados (Textil, Plásticos, Residuos de Construcción y Orgánicos/Alimentos).</w:t>
      </w:r>
    </w:p>
    <w:p w14:paraId="02A0C0D8" w14:textId="090D0FBB" w:rsidR="003B72C8" w:rsidRPr="007F4E9F" w:rsidRDefault="003B72C8" w:rsidP="005C3660">
      <w:pPr>
        <w:pStyle w:val="ListParagraph"/>
        <w:numPr>
          <w:ilvl w:val="0"/>
          <w:numId w:val="9"/>
        </w:numPr>
        <w:spacing w:after="160" w:line="259" w:lineRule="auto"/>
        <w:jc w:val="both"/>
        <w:rPr>
          <w:rFonts w:ascii="Times New Roman" w:hAnsi="Times New Roman" w:cs="Times New Roman"/>
        </w:rPr>
      </w:pPr>
      <w:r w:rsidRPr="007F4E9F">
        <w:rPr>
          <w:rFonts w:ascii="Times New Roman" w:hAnsi="Times New Roman" w:cs="Times New Roman"/>
          <w:b/>
          <w:bCs/>
        </w:rPr>
        <w:t>Módulo de publicación (oferta y demanda):</w:t>
      </w:r>
      <w:r w:rsidRPr="007F4E9F">
        <w:rPr>
          <w:rFonts w:ascii="Times New Roman" w:hAnsi="Times New Roman" w:cs="Times New Roman"/>
        </w:rPr>
        <w:t xml:space="preserve"> a través de un formulario guiado, las empresas pueden “subir” su</w:t>
      </w:r>
      <w:r w:rsidR="004D260C" w:rsidRPr="007F4E9F">
        <w:rPr>
          <w:rFonts w:ascii="Times New Roman" w:hAnsi="Times New Roman" w:cs="Times New Roman"/>
        </w:rPr>
        <w:t xml:space="preserve"> oferta y/o demanda</w:t>
      </w:r>
      <w:r w:rsidR="00433026" w:rsidRPr="007F4E9F">
        <w:rPr>
          <w:rFonts w:ascii="Times New Roman" w:hAnsi="Times New Roman" w:cs="Times New Roman"/>
        </w:rPr>
        <w:t xml:space="preserve"> de</w:t>
      </w:r>
      <w:r w:rsidRPr="007F4E9F">
        <w:rPr>
          <w:rFonts w:ascii="Times New Roman" w:hAnsi="Times New Roman" w:cs="Times New Roman"/>
        </w:rPr>
        <w:t xml:space="preserve"> residuos o subproductos. El sistema permite cargar fotografías del material, describir su estado, especificar la cantidad (en kilogramos, toneladas o unidades) y definir si se está ofreciendo (para venta/donación) o si se está demandando (buscando comprar).</w:t>
      </w:r>
    </w:p>
    <w:p w14:paraId="6C12D04B" w14:textId="77777777" w:rsidR="003B72C8" w:rsidRPr="007F4E9F" w:rsidRDefault="003B72C8" w:rsidP="005C3660">
      <w:pPr>
        <w:pStyle w:val="ListParagraph"/>
        <w:numPr>
          <w:ilvl w:val="0"/>
          <w:numId w:val="9"/>
        </w:numPr>
        <w:spacing w:after="160" w:line="259" w:lineRule="auto"/>
        <w:jc w:val="both"/>
        <w:rPr>
          <w:rFonts w:ascii="Times New Roman" w:hAnsi="Times New Roman" w:cs="Times New Roman"/>
        </w:rPr>
      </w:pPr>
      <w:r w:rsidRPr="007F4E9F">
        <w:rPr>
          <w:rFonts w:ascii="Times New Roman" w:hAnsi="Times New Roman" w:cs="Times New Roman"/>
          <w:b/>
          <w:bCs/>
        </w:rPr>
        <w:t>Sistema de conexión y mensajería:</w:t>
      </w:r>
      <w:r w:rsidRPr="007F4E9F">
        <w:rPr>
          <w:rFonts w:ascii="Times New Roman" w:hAnsi="Times New Roman" w:cs="Times New Roman"/>
        </w:rPr>
        <w:t xml:space="preserve"> cuando una empresa encuentra un material de su interés en el catálogo, la plataforma habilita un canal de comunicación. A través de un buzón de mensajería interna, las dos partes pueden chatear, aclarar dudas sobre la logística del material y llegar a un acuerdo para concretar el intercambio físico.</w:t>
      </w:r>
    </w:p>
    <w:p w14:paraId="28CDC56F" w14:textId="77777777" w:rsidR="003B72C8" w:rsidRPr="007F4E9F" w:rsidRDefault="003B72C8" w:rsidP="005C3660">
      <w:pPr>
        <w:pStyle w:val="ListParagraph"/>
        <w:numPr>
          <w:ilvl w:val="0"/>
          <w:numId w:val="9"/>
        </w:numPr>
        <w:spacing w:after="160" w:line="259" w:lineRule="auto"/>
        <w:jc w:val="both"/>
        <w:rPr>
          <w:rFonts w:ascii="Times New Roman" w:hAnsi="Times New Roman" w:cs="Times New Roman"/>
        </w:rPr>
      </w:pPr>
      <w:r w:rsidRPr="007F4E9F">
        <w:rPr>
          <w:rFonts w:ascii="Times New Roman" w:hAnsi="Times New Roman" w:cs="Times New Roman"/>
          <w:b/>
          <w:bCs/>
        </w:rPr>
        <w:t>Tablero de indicadores:</w:t>
      </w:r>
      <w:r w:rsidRPr="007F4E9F">
        <w:rPr>
          <w:rFonts w:ascii="Times New Roman" w:hAnsi="Times New Roman" w:cs="Times New Roman"/>
        </w:rPr>
        <w:t xml:space="preserve"> la plataforma cuenta con una sección donde consolida los datos de impacto, permitiendo visualizar cómo las interacciones suman a los Objetivos de Desarrollo Sostenible (ODS) y a los principios de las 9R de la economía circular.</w:t>
      </w:r>
    </w:p>
    <w:p w14:paraId="41C3424C" w14:textId="77777777" w:rsidR="003B72C8" w:rsidRPr="007F4E9F" w:rsidRDefault="003B72C8" w:rsidP="0032235A">
      <w:pPr>
        <w:jc w:val="both"/>
        <w:rPr>
          <w:rFonts w:ascii="Times New Roman" w:hAnsi="Times New Roman" w:cs="Times New Roman"/>
        </w:rPr>
      </w:pPr>
    </w:p>
    <w:p w14:paraId="65D42CD9" w14:textId="2465FDE2" w:rsidR="007C5888" w:rsidRPr="007F4E9F" w:rsidRDefault="007C5888" w:rsidP="0032235A">
      <w:pPr>
        <w:pStyle w:val="Heading2"/>
        <w:jc w:val="both"/>
        <w:rPr>
          <w:rFonts w:ascii="Times New Roman" w:hAnsi="Times New Roman" w:cs="Times New Roman"/>
          <w:sz w:val="22"/>
          <w:szCs w:val="22"/>
        </w:rPr>
      </w:pPr>
      <w:bookmarkStart w:id="35" w:name="_Toc221539831"/>
      <w:bookmarkStart w:id="36" w:name="_Toc226750186"/>
      <w:r w:rsidRPr="007F4E9F">
        <w:rPr>
          <w:rFonts w:ascii="Times New Roman" w:hAnsi="Times New Roman" w:cs="Times New Roman"/>
          <w:sz w:val="22"/>
          <w:szCs w:val="22"/>
        </w:rPr>
        <w:t>Componente 2: Fortalecimiento del marco regulatorio y estratégico para la economía circular</w:t>
      </w:r>
      <w:bookmarkEnd w:id="35"/>
      <w:bookmarkEnd w:id="36"/>
    </w:p>
    <w:p w14:paraId="407FE6E0" w14:textId="3CADD32A" w:rsidR="00C4235E" w:rsidRPr="007F4E9F" w:rsidRDefault="00C4235E" w:rsidP="00C4235E">
      <w:pPr>
        <w:spacing w:line="240" w:lineRule="auto"/>
        <w:jc w:val="both"/>
        <w:rPr>
          <w:rFonts w:ascii="Times New Roman" w:hAnsi="Times New Roman"/>
        </w:rPr>
      </w:pPr>
      <w:r w:rsidRPr="007F4E9F">
        <w:rPr>
          <w:rFonts w:ascii="Times New Roman" w:hAnsi="Times New Roman"/>
        </w:rPr>
        <w:t xml:space="preserve">El componente integra el análisis normativo e institucional, el modelo de gobernanza multinivel y el proceso de validación participativa efectuado. En conjunto, estos insumos ofrecen una visión comparada de los ajustes regulatorios y de gobernanza requeridos para asegurar la sostenibilidad de la Plataforma Regional de Economía Circular en Bogotá, Lima, Quito y Santiago de Chile. </w:t>
      </w:r>
      <w:r w:rsidR="00C13BD0" w:rsidRPr="007F4E9F">
        <w:rPr>
          <w:rFonts w:ascii="Times New Roman" w:hAnsi="Times New Roman"/>
        </w:rPr>
        <w:t>(ICLEI &amp; ACODAL, 2025a, 2025b, 2025c, 2025d)</w:t>
      </w:r>
    </w:p>
    <w:p w14:paraId="05C8F206" w14:textId="539883E0" w:rsidR="00C4235E" w:rsidRPr="007F4E9F" w:rsidRDefault="00C4235E" w:rsidP="00C4235E">
      <w:pPr>
        <w:spacing w:line="240" w:lineRule="auto"/>
        <w:jc w:val="both"/>
        <w:rPr>
          <w:rFonts w:ascii="Times New Roman" w:hAnsi="Times New Roman"/>
        </w:rPr>
      </w:pPr>
      <w:r w:rsidRPr="007F4E9F">
        <w:rPr>
          <w:rFonts w:ascii="Times New Roman" w:hAnsi="Times New Roman"/>
        </w:rPr>
        <w:t xml:space="preserve">El análisis normativo evidencia avances en la incorporación de principios de economía circular en políticas públicas y marcos regulatorios urbanos. Sin embargo, aún persisten brechas relevantes. Se mantienen vacíos en aspectos clave como la trazabilidad de materiales, la estandarización de información, la coordinación interinstitucional y la regulación de modelos de negocio basados en </w:t>
      </w:r>
      <w:r w:rsidR="00990AA6" w:rsidRPr="007F4E9F">
        <w:rPr>
          <w:rFonts w:ascii="Times New Roman" w:hAnsi="Times New Roman"/>
        </w:rPr>
        <w:t>reúso</w:t>
      </w:r>
      <w:r w:rsidRPr="007F4E9F">
        <w:rPr>
          <w:rFonts w:ascii="Times New Roman" w:hAnsi="Times New Roman"/>
        </w:rPr>
        <w:t xml:space="preserve"> y reparación. Asimismo, se identifican desafíos en la inclusión progresiva del sector informal en las cadenas de valor </w:t>
      </w:r>
      <w:r w:rsidR="00C13BD0" w:rsidRPr="007F4E9F">
        <w:rPr>
          <w:rFonts w:ascii="Times New Roman" w:hAnsi="Times New Roman"/>
        </w:rPr>
        <w:t>circulares (ICLEI &amp; ACODAL, 2025a).</w:t>
      </w:r>
    </w:p>
    <w:p w14:paraId="08F99112" w14:textId="3C046974" w:rsidR="00C4235E" w:rsidRPr="007F4E9F" w:rsidRDefault="00C4235E" w:rsidP="00C4235E">
      <w:pPr>
        <w:spacing w:line="240" w:lineRule="auto"/>
        <w:jc w:val="both"/>
        <w:rPr>
          <w:rFonts w:ascii="Times New Roman" w:hAnsi="Times New Roman"/>
        </w:rPr>
      </w:pPr>
      <w:r w:rsidRPr="007F4E9F">
        <w:rPr>
          <w:rFonts w:ascii="Times New Roman" w:hAnsi="Times New Roman"/>
        </w:rPr>
        <w:t xml:space="preserve">El estudio también señala que factores externos, como dinámicas geopolíticas que afectan los mercados de materiales secundarios, pueden incidir en la viabilidad de algunos modelos de negocio circulares. No obstante, el análisis reconoce la existencia de oportunidades importantes en las ciudades participantes, donde diversas empresas ya cuentan con capacidades instaladas y ecosistemas productivos que muestran disposición para avanzar hacia prácticas circulares. En este contexto, se resalta la necesidad de fortalecer el entorno normativo, institucional y operativo para consolidar estas oportunidades </w:t>
      </w:r>
      <w:r w:rsidR="00C13BD0" w:rsidRPr="007F4E9F">
        <w:rPr>
          <w:rFonts w:ascii="Times New Roman" w:hAnsi="Times New Roman"/>
        </w:rPr>
        <w:t>(ICLEI &amp; ACODAL, 2025a).</w:t>
      </w:r>
    </w:p>
    <w:p w14:paraId="693F1E8D" w14:textId="4867236B" w:rsidR="00C4235E" w:rsidRPr="007F4E9F" w:rsidRDefault="00C4235E" w:rsidP="00C4235E">
      <w:pPr>
        <w:spacing w:line="240" w:lineRule="auto"/>
        <w:jc w:val="both"/>
        <w:rPr>
          <w:rFonts w:ascii="Times New Roman" w:hAnsi="Times New Roman"/>
        </w:rPr>
      </w:pPr>
      <w:r w:rsidRPr="007F4E9F">
        <w:rPr>
          <w:rFonts w:ascii="Times New Roman" w:hAnsi="Times New Roman"/>
        </w:rPr>
        <w:t>El modelo de gobernanza multinivel busca fortalecer la articulación entre las ciudades participantes y establecer un marco operativo claro para la gestión del Marketplace regional. El modelo define roles y responsabilidades para los distintos actores del ecosistema incluyendo entidades públicas, empresas, academia y organizaciones de la sociedad civil y plantea mecanismos permanentes de coordinación, seguimiento y comunicación. De igual manera, incorpora lineamientos para la estandarización de información y la trazabilidad de los flujos de materiales, así como una hoja de ruta operativa y un esquema de sostenibilidad financiera orientados a garantizar la administración, el uso y el fortalecimiento continuo de la plataforma</w:t>
      </w:r>
      <w:r w:rsidR="00C13BD0" w:rsidRPr="007F4E9F">
        <w:rPr>
          <w:rFonts w:ascii="Times New Roman" w:hAnsi="Times New Roman"/>
        </w:rPr>
        <w:t xml:space="preserve"> (ICLEI &amp; ACODAL, 2025d)</w:t>
      </w:r>
    </w:p>
    <w:p w14:paraId="20E309CA" w14:textId="67E5F2EB" w:rsidR="00C4235E" w:rsidRPr="007F4E9F" w:rsidRDefault="00C4235E" w:rsidP="00685230">
      <w:pPr>
        <w:jc w:val="both"/>
        <w:rPr>
          <w:rFonts w:ascii="Times New Roman" w:hAnsi="Times New Roman"/>
        </w:rPr>
      </w:pPr>
      <w:r w:rsidRPr="007F4E9F">
        <w:rPr>
          <w:rFonts w:ascii="Times New Roman" w:hAnsi="Times New Roman"/>
        </w:rPr>
        <w:t xml:space="preserve">Finalmente, el proceso de validación participativa permitió contrastar los resultados técnicos con las percepciones, prioridades y realidades operativas de diversos actores públicos, privados, académicos, comunitarios y empresariales. Este proceso incluyó la realización de un webinar regional y la organización de talleres presenciales, virtuales e híbridos en Bogotá, Quito y Santiago de Chile, utilizando una metodología homogénea que combinó presentaciones técnicas con espacios colaborativos de diálogo </w:t>
      </w:r>
      <w:r w:rsidR="00C13BD0" w:rsidRPr="007F4E9F">
        <w:rPr>
          <w:rFonts w:ascii="Times New Roman" w:hAnsi="Times New Roman"/>
        </w:rPr>
        <w:t>(ICLEI &amp; ACODAL, 2025b)</w:t>
      </w:r>
    </w:p>
    <w:p w14:paraId="170756CF" w14:textId="27C9A7CB" w:rsidR="00C4235E" w:rsidRPr="007F4E9F" w:rsidRDefault="00C4235E" w:rsidP="00C4235E">
      <w:pPr>
        <w:spacing w:line="240" w:lineRule="auto"/>
        <w:jc w:val="both"/>
        <w:rPr>
          <w:rFonts w:ascii="Times New Roman" w:hAnsi="Times New Roman"/>
        </w:rPr>
      </w:pPr>
      <w:r w:rsidRPr="007F4E9F">
        <w:rPr>
          <w:rFonts w:ascii="Times New Roman" w:hAnsi="Times New Roman"/>
        </w:rPr>
        <w:t xml:space="preserve">Los resultados de estos espacios permitieron identificar coincidencias importantes entre las ciudades, entre ellas el bajo conocimiento inicial de la plataforma, la necesidad de fortalecer la articulación institucional y multinivel, y la importancia de evitar duplicidades con iniciativas o plataformas ya existentes </w:t>
      </w:r>
      <w:r w:rsidR="00C13BD0" w:rsidRPr="007F4E9F">
        <w:rPr>
          <w:rFonts w:ascii="Times New Roman" w:hAnsi="Times New Roman"/>
        </w:rPr>
        <w:t>(ICLEI &amp; ACODAL, 2025b)</w:t>
      </w:r>
      <w:r w:rsidRPr="007F4E9F">
        <w:rPr>
          <w:rFonts w:ascii="Times New Roman" w:hAnsi="Times New Roman"/>
        </w:rPr>
        <w:t>. Al mismo tiempo, las discusiones permitieron recoger aportes que enriquecen la comprensión de las particularidades territoriales y las condiciones de implementación del Marketplace.</w:t>
      </w:r>
    </w:p>
    <w:p w14:paraId="26CA1A91" w14:textId="59AF00C9" w:rsidR="007C5888" w:rsidRPr="007F4E9F" w:rsidRDefault="00B56387" w:rsidP="0032235A">
      <w:pPr>
        <w:pStyle w:val="Heading1"/>
        <w:jc w:val="both"/>
        <w:rPr>
          <w:rFonts w:ascii="Times New Roman" w:hAnsi="Times New Roman" w:cs="Times New Roman"/>
          <w:sz w:val="22"/>
          <w:szCs w:val="22"/>
        </w:rPr>
      </w:pPr>
      <w:bookmarkStart w:id="37" w:name="_Toc226750187"/>
      <w:r w:rsidRPr="007F4E9F">
        <w:rPr>
          <w:rFonts w:ascii="Times New Roman" w:hAnsi="Times New Roman" w:cs="Times New Roman"/>
          <w:sz w:val="22"/>
          <w:szCs w:val="22"/>
        </w:rPr>
        <w:t>Aplicación</w:t>
      </w:r>
      <w:r w:rsidR="007C5888" w:rsidRPr="007F4E9F">
        <w:rPr>
          <w:rFonts w:ascii="Times New Roman" w:hAnsi="Times New Roman" w:cs="Times New Roman"/>
          <w:sz w:val="22"/>
          <w:szCs w:val="22"/>
        </w:rPr>
        <w:t xml:space="preserve"> de los criterios de </w:t>
      </w:r>
      <w:r w:rsidRPr="007F4E9F">
        <w:rPr>
          <w:rFonts w:ascii="Times New Roman" w:hAnsi="Times New Roman" w:cs="Times New Roman"/>
          <w:sz w:val="22"/>
          <w:szCs w:val="22"/>
        </w:rPr>
        <w:t>evaluación por componente</w:t>
      </w:r>
      <w:bookmarkEnd w:id="37"/>
    </w:p>
    <w:p w14:paraId="4A06EFD7" w14:textId="77777777" w:rsidR="00B56387" w:rsidRPr="007F4E9F" w:rsidRDefault="00B56387" w:rsidP="0032235A">
      <w:pPr>
        <w:pStyle w:val="Heading2"/>
        <w:jc w:val="both"/>
        <w:rPr>
          <w:rFonts w:ascii="Times New Roman" w:hAnsi="Times New Roman" w:cs="Times New Roman"/>
          <w:sz w:val="22"/>
          <w:szCs w:val="22"/>
        </w:rPr>
      </w:pPr>
      <w:bookmarkStart w:id="38" w:name="_Toc226750188"/>
      <w:bookmarkStart w:id="39" w:name="_Hlk224482436"/>
      <w:r w:rsidRPr="007F4E9F">
        <w:rPr>
          <w:rFonts w:ascii="Times New Roman" w:hAnsi="Times New Roman" w:cs="Times New Roman"/>
          <w:sz w:val="22"/>
          <w:szCs w:val="22"/>
        </w:rPr>
        <w:t>Componente 1: Diseño y operación de una plataforma de economía circular</w:t>
      </w:r>
      <w:bookmarkEnd w:id="38"/>
    </w:p>
    <w:p w14:paraId="072BD6DD" w14:textId="1AA6C0B5" w:rsidR="00B56387" w:rsidRPr="007F4E9F" w:rsidRDefault="00B56387" w:rsidP="0032235A">
      <w:pPr>
        <w:jc w:val="both"/>
        <w:rPr>
          <w:rFonts w:ascii="Times New Roman" w:hAnsi="Times New Roman" w:cs="Times New Roman"/>
        </w:rPr>
      </w:pPr>
      <w:r w:rsidRPr="007F4E9F">
        <w:rPr>
          <w:rFonts w:ascii="Times New Roman" w:hAnsi="Times New Roman" w:cs="Times New Roman"/>
        </w:rPr>
        <w:t>Este componente implicaba dos productos fundamentales: (a) una plataforma digital de alcance regional y (b) un sistema de indicadores para evaluar los procesos en economía circular producto de la plataforma</w:t>
      </w:r>
      <w:r w:rsidR="00990AA6" w:rsidRPr="007F4E9F">
        <w:rPr>
          <w:rFonts w:ascii="Times New Roman" w:hAnsi="Times New Roman" w:cs="Times New Roman"/>
        </w:rPr>
        <w:t>.</w:t>
      </w:r>
    </w:p>
    <w:p w14:paraId="181E6E03" w14:textId="7F50A266" w:rsidR="00DA407B" w:rsidRPr="007F4E9F" w:rsidRDefault="0016014F" w:rsidP="0032235A">
      <w:pPr>
        <w:pStyle w:val="Heading3"/>
        <w:jc w:val="both"/>
        <w:rPr>
          <w:rFonts w:ascii="Times New Roman" w:hAnsi="Times New Roman"/>
        </w:rPr>
      </w:pPr>
      <w:bookmarkStart w:id="40" w:name="_Toc226750189"/>
      <w:r w:rsidRPr="007F4E9F">
        <w:rPr>
          <w:rFonts w:ascii="Times New Roman" w:hAnsi="Times New Roman"/>
        </w:rPr>
        <w:t>Pertinencia</w:t>
      </w:r>
      <w:bookmarkEnd w:id="40"/>
      <w:r w:rsidRPr="007F4E9F">
        <w:rPr>
          <w:rFonts w:ascii="Times New Roman" w:hAnsi="Times New Roman"/>
        </w:rPr>
        <w:t xml:space="preserve"> </w:t>
      </w:r>
    </w:p>
    <w:p w14:paraId="537325CE" w14:textId="4E64A2A3" w:rsidR="0016014F" w:rsidRPr="007F4E9F" w:rsidRDefault="0016014F" w:rsidP="0032235A">
      <w:pPr>
        <w:jc w:val="both"/>
        <w:rPr>
          <w:rFonts w:ascii="Times New Roman" w:hAnsi="Times New Roman" w:cs="Times New Roman"/>
          <w:i/>
          <w:iCs/>
        </w:rPr>
      </w:pPr>
      <w:r w:rsidRPr="007F4E9F">
        <w:rPr>
          <w:rFonts w:ascii="Times New Roman" w:hAnsi="Times New Roman" w:cs="Times New Roman"/>
        </w:rPr>
        <w:t xml:space="preserve">Al evaluar la pertinencia se pretende indagar </w:t>
      </w:r>
      <w:r w:rsidR="00DC39B3" w:rsidRPr="007F4E9F">
        <w:rPr>
          <w:rFonts w:ascii="Times New Roman" w:hAnsi="Times New Roman" w:cs="Times New Roman"/>
        </w:rPr>
        <w:t xml:space="preserve">si el </w:t>
      </w:r>
      <w:r w:rsidR="00D46F6C" w:rsidRPr="007F4E9F">
        <w:rPr>
          <w:rFonts w:ascii="Times New Roman" w:hAnsi="Times New Roman" w:cs="Times New Roman"/>
        </w:rPr>
        <w:t>p</w:t>
      </w:r>
      <w:r w:rsidR="00DC39B3" w:rsidRPr="007F4E9F">
        <w:rPr>
          <w:rFonts w:ascii="Times New Roman" w:hAnsi="Times New Roman" w:cs="Times New Roman"/>
        </w:rPr>
        <w:t xml:space="preserve">royecto </w:t>
      </w:r>
      <w:r w:rsidR="00DB04E1" w:rsidRPr="007F4E9F">
        <w:rPr>
          <w:rFonts w:ascii="Times New Roman" w:hAnsi="Times New Roman" w:cs="Times New Roman"/>
        </w:rPr>
        <w:t>abordó</w:t>
      </w:r>
      <w:r w:rsidR="00DC39B3" w:rsidRPr="007F4E9F">
        <w:rPr>
          <w:rFonts w:ascii="Times New Roman" w:hAnsi="Times New Roman" w:cs="Times New Roman"/>
        </w:rPr>
        <w:t xml:space="preserve"> necesidades real</w:t>
      </w:r>
      <w:r w:rsidR="00D46F6C" w:rsidRPr="007F4E9F">
        <w:rPr>
          <w:rFonts w:ascii="Times New Roman" w:hAnsi="Times New Roman" w:cs="Times New Roman"/>
        </w:rPr>
        <w:t>e</w:t>
      </w:r>
      <w:r w:rsidR="00DC39B3" w:rsidRPr="007F4E9F">
        <w:rPr>
          <w:rFonts w:ascii="Times New Roman" w:hAnsi="Times New Roman" w:cs="Times New Roman"/>
        </w:rPr>
        <w:t xml:space="preserve">s de la </w:t>
      </w:r>
      <w:r w:rsidR="00DB04E1" w:rsidRPr="007F4E9F">
        <w:rPr>
          <w:rFonts w:ascii="Times New Roman" w:hAnsi="Times New Roman" w:cs="Times New Roman"/>
        </w:rPr>
        <w:t>región</w:t>
      </w:r>
      <w:r w:rsidR="00DC39B3" w:rsidRPr="007F4E9F">
        <w:rPr>
          <w:rFonts w:ascii="Times New Roman" w:hAnsi="Times New Roman" w:cs="Times New Roman"/>
        </w:rPr>
        <w:t xml:space="preserve"> </w:t>
      </w:r>
      <w:r w:rsidR="00DB04E1" w:rsidRPr="007F4E9F">
        <w:rPr>
          <w:rFonts w:ascii="Times New Roman" w:hAnsi="Times New Roman" w:cs="Times New Roman"/>
        </w:rPr>
        <w:t>latinoamericana</w:t>
      </w:r>
      <w:r w:rsidR="00DC39B3" w:rsidRPr="007F4E9F">
        <w:rPr>
          <w:rFonts w:ascii="Times New Roman" w:hAnsi="Times New Roman" w:cs="Times New Roman"/>
        </w:rPr>
        <w:t xml:space="preserve"> y de</w:t>
      </w:r>
      <w:r w:rsidR="00D46F6C" w:rsidRPr="007F4E9F">
        <w:rPr>
          <w:rFonts w:ascii="Times New Roman" w:hAnsi="Times New Roman" w:cs="Times New Roman"/>
        </w:rPr>
        <w:t xml:space="preserve"> </w:t>
      </w:r>
      <w:r w:rsidR="00DC39B3" w:rsidRPr="007F4E9F">
        <w:rPr>
          <w:rFonts w:ascii="Times New Roman" w:hAnsi="Times New Roman" w:cs="Times New Roman"/>
        </w:rPr>
        <w:t xml:space="preserve">los </w:t>
      </w:r>
      <w:r w:rsidR="00DB04E1" w:rsidRPr="007F4E9F">
        <w:rPr>
          <w:rFonts w:ascii="Times New Roman" w:hAnsi="Times New Roman" w:cs="Times New Roman"/>
        </w:rPr>
        <w:t>países</w:t>
      </w:r>
      <w:r w:rsidR="00DC39B3" w:rsidRPr="007F4E9F">
        <w:rPr>
          <w:rFonts w:ascii="Times New Roman" w:hAnsi="Times New Roman" w:cs="Times New Roman"/>
        </w:rPr>
        <w:t xml:space="preserve"> priorizados en la </w:t>
      </w:r>
      <w:r w:rsidR="00DB04E1" w:rsidRPr="007F4E9F">
        <w:rPr>
          <w:rFonts w:ascii="Times New Roman" w:hAnsi="Times New Roman" w:cs="Times New Roman"/>
        </w:rPr>
        <w:t>intervención</w:t>
      </w:r>
      <w:r w:rsidR="00DC39B3" w:rsidRPr="007F4E9F">
        <w:rPr>
          <w:rFonts w:ascii="Times New Roman" w:hAnsi="Times New Roman" w:cs="Times New Roman"/>
        </w:rPr>
        <w:t xml:space="preserve">, </w:t>
      </w:r>
      <w:r w:rsidR="00DB04E1" w:rsidRPr="007F4E9F">
        <w:rPr>
          <w:rFonts w:ascii="Times New Roman" w:hAnsi="Times New Roman" w:cs="Times New Roman"/>
        </w:rPr>
        <w:t>representados</w:t>
      </w:r>
      <w:r w:rsidR="00DC39B3" w:rsidRPr="007F4E9F">
        <w:rPr>
          <w:rFonts w:ascii="Times New Roman" w:hAnsi="Times New Roman" w:cs="Times New Roman"/>
        </w:rPr>
        <w:t xml:space="preserve"> en las 4 ciudades. </w:t>
      </w:r>
      <w:r w:rsidR="00D46F6C" w:rsidRPr="007F4E9F">
        <w:rPr>
          <w:rFonts w:ascii="Times New Roman" w:hAnsi="Times New Roman" w:cs="Times New Roman"/>
        </w:rPr>
        <w:t xml:space="preserve">Tal y </w:t>
      </w:r>
      <w:r w:rsidR="00DB04E1" w:rsidRPr="007F4E9F">
        <w:rPr>
          <w:rFonts w:ascii="Times New Roman" w:hAnsi="Times New Roman" w:cs="Times New Roman"/>
        </w:rPr>
        <w:t>cómo</w:t>
      </w:r>
      <w:r w:rsidR="00D46F6C" w:rsidRPr="007F4E9F">
        <w:rPr>
          <w:rFonts w:ascii="Times New Roman" w:hAnsi="Times New Roman" w:cs="Times New Roman"/>
        </w:rPr>
        <w:t xml:space="preserve"> lo afirma el BID, </w:t>
      </w:r>
      <w:r w:rsidR="005E74F2" w:rsidRPr="007F4E9F">
        <w:rPr>
          <w:rFonts w:ascii="Times New Roman" w:hAnsi="Times New Roman" w:cs="Times New Roman"/>
          <w:i/>
          <w:iCs/>
        </w:rPr>
        <w:t>“</w:t>
      </w:r>
      <w:r w:rsidR="00D46F6C" w:rsidRPr="007F4E9F">
        <w:rPr>
          <w:rFonts w:ascii="Times New Roman" w:hAnsi="Times New Roman" w:cs="Times New Roman"/>
          <w:i/>
          <w:iCs/>
        </w:rPr>
        <w:t>Los países de América Latina y el Caribe comparten muchas oportunidades, así como desafíos de desarrollo, que se abordan mejor mediante la acción colectiva</w:t>
      </w:r>
      <w:r w:rsidR="005E74F2" w:rsidRPr="007F4E9F">
        <w:rPr>
          <w:rFonts w:ascii="Times New Roman" w:hAnsi="Times New Roman" w:cs="Times New Roman"/>
          <w:i/>
          <w:iCs/>
        </w:rPr>
        <w:t>”</w:t>
      </w:r>
      <w:r w:rsidR="00D46F6C" w:rsidRPr="007F4E9F">
        <w:rPr>
          <w:rFonts w:ascii="Times New Roman" w:hAnsi="Times New Roman" w:cs="Times New Roman"/>
          <w:i/>
          <w:iCs/>
        </w:rPr>
        <w:t xml:space="preserve">. </w:t>
      </w:r>
    </w:p>
    <w:p w14:paraId="52973357" w14:textId="10BB7BB7" w:rsidR="00A676FD" w:rsidRPr="007F4E9F" w:rsidRDefault="00117F33" w:rsidP="0032235A">
      <w:pPr>
        <w:jc w:val="both"/>
        <w:rPr>
          <w:rFonts w:ascii="Times New Roman" w:hAnsi="Times New Roman" w:cs="Times New Roman"/>
        </w:rPr>
      </w:pPr>
      <w:r w:rsidRPr="007F4E9F">
        <w:rPr>
          <w:rFonts w:ascii="Times New Roman" w:hAnsi="Times New Roman" w:cs="Times New Roman"/>
        </w:rPr>
        <w:t>Para evaluar la pertinencia, de acuer</w:t>
      </w:r>
      <w:r w:rsidR="006015AD" w:rsidRPr="007F4E9F">
        <w:rPr>
          <w:rFonts w:ascii="Times New Roman" w:hAnsi="Times New Roman" w:cs="Times New Roman"/>
        </w:rPr>
        <w:t>d</w:t>
      </w:r>
      <w:r w:rsidRPr="007F4E9F">
        <w:rPr>
          <w:rFonts w:ascii="Times New Roman" w:hAnsi="Times New Roman" w:cs="Times New Roman"/>
        </w:rPr>
        <w:t>o con la tabl</w:t>
      </w:r>
      <w:r w:rsidR="006015AD" w:rsidRPr="007F4E9F">
        <w:rPr>
          <w:rFonts w:ascii="Times New Roman" w:hAnsi="Times New Roman" w:cs="Times New Roman"/>
        </w:rPr>
        <w:t>a</w:t>
      </w:r>
      <w:r w:rsidRPr="007F4E9F">
        <w:rPr>
          <w:rFonts w:ascii="Times New Roman" w:hAnsi="Times New Roman" w:cs="Times New Roman"/>
        </w:rPr>
        <w:t xml:space="preserve"> 1, se verificaron dos </w:t>
      </w:r>
      <w:r w:rsidR="000D7A90" w:rsidRPr="007F4E9F">
        <w:rPr>
          <w:rFonts w:ascii="Times New Roman" w:hAnsi="Times New Roman" w:cs="Times New Roman"/>
        </w:rPr>
        <w:t>alc</w:t>
      </w:r>
      <w:r w:rsidR="00474D47" w:rsidRPr="007F4E9F">
        <w:rPr>
          <w:rFonts w:ascii="Times New Roman" w:hAnsi="Times New Roman" w:cs="Times New Roman"/>
        </w:rPr>
        <w:t>a</w:t>
      </w:r>
      <w:r w:rsidR="000D7A90" w:rsidRPr="007F4E9F">
        <w:rPr>
          <w:rFonts w:ascii="Times New Roman" w:hAnsi="Times New Roman" w:cs="Times New Roman"/>
        </w:rPr>
        <w:t>nces</w:t>
      </w:r>
      <w:r w:rsidR="006015AD" w:rsidRPr="007F4E9F">
        <w:rPr>
          <w:rFonts w:ascii="Times New Roman" w:hAnsi="Times New Roman" w:cs="Times New Roman"/>
        </w:rPr>
        <w:t xml:space="preserve"> para cada componente</w:t>
      </w:r>
      <w:r w:rsidRPr="007F4E9F">
        <w:rPr>
          <w:rFonts w:ascii="Times New Roman" w:hAnsi="Times New Roman" w:cs="Times New Roman"/>
        </w:rPr>
        <w:t xml:space="preserve">: </w:t>
      </w:r>
    </w:p>
    <w:p w14:paraId="7EA87D74" w14:textId="77777777" w:rsidR="00A676FD" w:rsidRPr="007F4E9F" w:rsidRDefault="00117F33" w:rsidP="005C3660">
      <w:pPr>
        <w:pStyle w:val="ListParagraph"/>
        <w:numPr>
          <w:ilvl w:val="0"/>
          <w:numId w:val="8"/>
        </w:numPr>
        <w:jc w:val="both"/>
        <w:rPr>
          <w:rFonts w:ascii="Times New Roman" w:hAnsi="Times New Roman" w:cs="Times New Roman"/>
        </w:rPr>
      </w:pPr>
      <w:r w:rsidRPr="007F4E9F">
        <w:rPr>
          <w:rFonts w:ascii="Times New Roman" w:hAnsi="Times New Roman" w:cs="Times New Roman"/>
        </w:rPr>
        <w:t xml:space="preserve">La adecuación de la intervención a los contextos urbanos y sectoriales de cada ciudad y </w:t>
      </w:r>
    </w:p>
    <w:p w14:paraId="3EF2DC74" w14:textId="0F62B63E" w:rsidR="00117F33" w:rsidRPr="007F4E9F" w:rsidRDefault="00A676FD" w:rsidP="005C3660">
      <w:pPr>
        <w:pStyle w:val="ListParagraph"/>
        <w:numPr>
          <w:ilvl w:val="0"/>
          <w:numId w:val="8"/>
        </w:numPr>
        <w:jc w:val="both"/>
        <w:rPr>
          <w:rFonts w:ascii="Times New Roman" w:hAnsi="Times New Roman" w:cs="Times New Roman"/>
        </w:rPr>
      </w:pPr>
      <w:r w:rsidRPr="007F4E9F">
        <w:rPr>
          <w:rFonts w:ascii="Times New Roman" w:hAnsi="Times New Roman" w:cs="Times New Roman"/>
        </w:rPr>
        <w:t>L</w:t>
      </w:r>
      <w:r w:rsidR="00117F33" w:rsidRPr="007F4E9F">
        <w:rPr>
          <w:rFonts w:ascii="Times New Roman" w:hAnsi="Times New Roman" w:cs="Times New Roman"/>
        </w:rPr>
        <w:t>a relevancia frente a las prioridades locales y regionales de sostenibilidad.</w:t>
      </w:r>
    </w:p>
    <w:p w14:paraId="5F8EE68F" w14:textId="4480BCAD" w:rsidR="00A676FD" w:rsidRPr="007F4E9F" w:rsidRDefault="00474D47" w:rsidP="0032235A">
      <w:pPr>
        <w:pStyle w:val="Heading4"/>
        <w:jc w:val="both"/>
        <w:rPr>
          <w:rFonts w:ascii="Times New Roman" w:hAnsi="Times New Roman"/>
        </w:rPr>
      </w:pPr>
      <w:bookmarkStart w:id="41" w:name="_Toc226750190"/>
      <w:r w:rsidRPr="007F4E9F">
        <w:rPr>
          <w:rFonts w:ascii="Times New Roman" w:hAnsi="Times New Roman"/>
        </w:rPr>
        <w:t>Adecuación de la intervención a los contextos urbanos y sectoriales de cada ciudad</w:t>
      </w:r>
      <w:bookmarkEnd w:id="41"/>
      <w:r w:rsidRPr="007F4E9F">
        <w:rPr>
          <w:rFonts w:ascii="Times New Roman" w:hAnsi="Times New Roman"/>
        </w:rPr>
        <w:t xml:space="preserve"> </w:t>
      </w:r>
    </w:p>
    <w:p w14:paraId="0C16AD52" w14:textId="77777777" w:rsidR="004161BE" w:rsidRPr="007F4E9F" w:rsidRDefault="004161BE" w:rsidP="004161BE">
      <w:pPr>
        <w:pStyle w:val="Heading5"/>
        <w:spacing w:line="240" w:lineRule="auto"/>
        <w:rPr>
          <w:rFonts w:ascii="Times New Roman" w:hAnsi="Times New Roman"/>
        </w:rPr>
      </w:pPr>
      <w:bookmarkStart w:id="42" w:name="_Toc225500051"/>
      <w:bookmarkStart w:id="43" w:name="_Toc226750191"/>
      <w:r w:rsidRPr="007F4E9F">
        <w:rPr>
          <w:rFonts w:ascii="Times New Roman" w:hAnsi="Times New Roman"/>
        </w:rPr>
        <w:t>Plataforma digital de alcance regional</w:t>
      </w:r>
      <w:bookmarkEnd w:id="42"/>
      <w:bookmarkEnd w:id="43"/>
    </w:p>
    <w:p w14:paraId="5D03D00B" w14:textId="20B88BFF" w:rsidR="004161BE" w:rsidRPr="007F4E9F" w:rsidRDefault="004161BE" w:rsidP="004161BE">
      <w:pPr>
        <w:spacing w:line="240" w:lineRule="auto"/>
        <w:jc w:val="both"/>
        <w:rPr>
          <w:rFonts w:ascii="Times New Roman" w:eastAsia="Times New Roman" w:hAnsi="Times New Roman" w:cs="Times New Roman"/>
        </w:rPr>
      </w:pPr>
      <w:r w:rsidRPr="007F4E9F">
        <w:rPr>
          <w:rFonts w:ascii="Times New Roman" w:hAnsi="Times New Roman" w:cs="Times New Roman"/>
        </w:rPr>
        <w:t xml:space="preserve">La construcción del Marketplace “Plataforma regional de economía circular” surtió una serie de fases previas, cuyos entregables permiten verificar con suficiencia que se tuvieron en cuenta los contextos urbanos y sectoriales de cada ciudad. </w:t>
      </w:r>
      <w:r w:rsidRPr="007F4E9F">
        <w:rPr>
          <w:rFonts w:ascii="Times New Roman" w:eastAsia="Times New Roman" w:hAnsi="Times New Roman" w:cs="Times New Roman"/>
        </w:rPr>
        <w:t xml:space="preserve">La revisión documental facilita la identificación y priorización de los sectores económicos de mayor relevancia por </w:t>
      </w:r>
      <w:r w:rsidR="00F822AF" w:rsidRPr="007F4E9F">
        <w:rPr>
          <w:rFonts w:ascii="Times New Roman" w:eastAsia="Times New Roman" w:hAnsi="Times New Roman" w:cs="Times New Roman"/>
        </w:rPr>
        <w:t>ciudad (ADA shared, services solutions, 202</w:t>
      </w:r>
      <w:r w:rsidR="00E14E42" w:rsidRPr="007F4E9F">
        <w:rPr>
          <w:rFonts w:ascii="Times New Roman" w:eastAsia="Times New Roman" w:hAnsi="Times New Roman" w:cs="Times New Roman"/>
        </w:rPr>
        <w:t>3</w:t>
      </w:r>
      <w:r w:rsidR="00F822AF" w:rsidRPr="007F4E9F">
        <w:rPr>
          <w:rFonts w:ascii="Times New Roman" w:eastAsia="Times New Roman" w:hAnsi="Times New Roman" w:cs="Times New Roman"/>
        </w:rPr>
        <w:t>a, 202</w:t>
      </w:r>
      <w:r w:rsidR="00E14E42" w:rsidRPr="007F4E9F">
        <w:rPr>
          <w:rFonts w:ascii="Times New Roman" w:eastAsia="Times New Roman" w:hAnsi="Times New Roman" w:cs="Times New Roman"/>
        </w:rPr>
        <w:t>3</w:t>
      </w:r>
      <w:r w:rsidR="00F822AF" w:rsidRPr="007F4E9F">
        <w:rPr>
          <w:rFonts w:ascii="Times New Roman" w:eastAsia="Times New Roman" w:hAnsi="Times New Roman" w:cs="Times New Roman"/>
        </w:rPr>
        <w:t>b, 202</w:t>
      </w:r>
      <w:r w:rsidR="00E14E42" w:rsidRPr="007F4E9F">
        <w:rPr>
          <w:rFonts w:ascii="Times New Roman" w:eastAsia="Times New Roman" w:hAnsi="Times New Roman" w:cs="Times New Roman"/>
        </w:rPr>
        <w:t>3</w:t>
      </w:r>
      <w:r w:rsidR="00F822AF" w:rsidRPr="007F4E9F">
        <w:rPr>
          <w:rFonts w:ascii="Times New Roman" w:eastAsia="Times New Roman" w:hAnsi="Times New Roman" w:cs="Times New Roman"/>
        </w:rPr>
        <w:t>c, 202</w:t>
      </w:r>
      <w:r w:rsidR="00E14E42" w:rsidRPr="007F4E9F">
        <w:rPr>
          <w:rFonts w:ascii="Times New Roman" w:eastAsia="Times New Roman" w:hAnsi="Times New Roman" w:cs="Times New Roman"/>
        </w:rPr>
        <w:t>3</w:t>
      </w:r>
      <w:r w:rsidR="00F822AF" w:rsidRPr="007F4E9F">
        <w:rPr>
          <w:rFonts w:ascii="Times New Roman" w:eastAsia="Times New Roman" w:hAnsi="Times New Roman" w:cs="Times New Roman"/>
        </w:rPr>
        <w:t>d).</w:t>
      </w:r>
      <w:r w:rsidRPr="007F4E9F">
        <w:rPr>
          <w:rFonts w:ascii="Times New Roman" w:eastAsia="Times New Roman" w:hAnsi="Times New Roman" w:cs="Times New Roman"/>
        </w:rPr>
        <w:t xml:space="preserve"> Para esta identificación se elaboraron documentos individuales soportados en diferentes fuentes de información y criterios de priorización tales como: la participación en el PIB, las ventas, el potencial circular y la factibilidad regulatoria. Adicionalmente se pudo constatar que se realizaron ejercicios de concertación con las ciudades y que los sectores priorizados fueron discutidos en los comités directivos donde se recogieron recomendaciones por parte de las ciudades beneficiarias que fueron acogidos para la priorización final </w:t>
      </w:r>
      <w:r w:rsidR="00F822AF" w:rsidRPr="007F4E9F">
        <w:rPr>
          <w:rFonts w:ascii="Times New Roman" w:eastAsia="Times New Roman" w:hAnsi="Times New Roman" w:cs="Times New Roman"/>
        </w:rPr>
        <w:t>(ADA shared, services solutions, 2024a, 2024b, 2024c, 2024d)</w:t>
      </w:r>
    </w:p>
    <w:p w14:paraId="76512B1B" w14:textId="77777777" w:rsidR="004161BE" w:rsidRPr="007F4E9F" w:rsidRDefault="004161BE" w:rsidP="004161BE">
      <w:pPr>
        <w:spacing w:line="240" w:lineRule="auto"/>
        <w:jc w:val="both"/>
        <w:rPr>
          <w:rFonts w:ascii="Times New Roman" w:hAnsi="Times New Roman" w:cs="Times New Roman"/>
        </w:rPr>
      </w:pPr>
      <w:r w:rsidRPr="007F4E9F">
        <w:rPr>
          <w:rFonts w:ascii="Times New Roman" w:eastAsia="Times New Roman" w:hAnsi="Times New Roman" w:cs="Times New Roman"/>
        </w:rPr>
        <w:t>La tabla 4 presenta un análisis comparativo de las cuatro ciudades con el objetivo de identificar las fuentes de información, los criterios usados, el enfoque de priorización dominante y los sectores priorizados por ciudad.</w:t>
      </w:r>
    </w:p>
    <w:p w14:paraId="22EFA757" w14:textId="2E66E9BA" w:rsidR="004161BE" w:rsidRPr="007F4E9F" w:rsidRDefault="004161BE" w:rsidP="004161BE">
      <w:pPr>
        <w:pStyle w:val="Caption"/>
        <w:keepNext/>
        <w:jc w:val="both"/>
        <w:rPr>
          <w:rFonts w:ascii="Times New Roman" w:hAnsi="Times New Roman" w:cs="Times New Roman"/>
          <w:i/>
          <w:iCs/>
          <w:sz w:val="22"/>
          <w:szCs w:val="22"/>
        </w:rPr>
      </w:pPr>
      <w:bookmarkStart w:id="44" w:name="_Toc225500097"/>
      <w:bookmarkStart w:id="45" w:name="_Toc225848230"/>
      <w:r w:rsidRPr="007F4E9F">
        <w:rPr>
          <w:rFonts w:ascii="Times New Roman" w:hAnsi="Times New Roman" w:cs="Times New Roman"/>
          <w:sz w:val="22"/>
          <w:szCs w:val="22"/>
        </w:rPr>
        <w:t xml:space="preserve">Tabla </w:t>
      </w:r>
      <w:r w:rsidRPr="007F4E9F">
        <w:rPr>
          <w:rFonts w:ascii="Times New Roman" w:hAnsi="Times New Roman" w:cs="Times New Roman"/>
          <w:sz w:val="22"/>
          <w:szCs w:val="22"/>
        </w:rPr>
        <w:fldChar w:fldCharType="begin"/>
      </w:r>
      <w:r w:rsidRPr="007F4E9F">
        <w:rPr>
          <w:rFonts w:ascii="Times New Roman" w:hAnsi="Times New Roman" w:cs="Times New Roman"/>
          <w:sz w:val="22"/>
          <w:szCs w:val="22"/>
        </w:rPr>
        <w:instrText xml:space="preserve"> SEQ Tabla \* ARABIC </w:instrText>
      </w:r>
      <w:r w:rsidRPr="007F4E9F">
        <w:rPr>
          <w:rFonts w:ascii="Times New Roman" w:hAnsi="Times New Roman" w:cs="Times New Roman"/>
          <w:sz w:val="22"/>
          <w:szCs w:val="22"/>
        </w:rPr>
        <w:fldChar w:fldCharType="separate"/>
      </w:r>
      <w:r w:rsidR="00CB1A80" w:rsidRPr="007F4E9F">
        <w:rPr>
          <w:rFonts w:ascii="Times New Roman" w:hAnsi="Times New Roman" w:cs="Times New Roman"/>
          <w:noProof/>
          <w:sz w:val="22"/>
          <w:szCs w:val="22"/>
        </w:rPr>
        <w:t>4</w:t>
      </w:r>
      <w:r w:rsidRPr="007F4E9F">
        <w:rPr>
          <w:rFonts w:ascii="Times New Roman" w:hAnsi="Times New Roman" w:cs="Times New Roman"/>
          <w:sz w:val="22"/>
          <w:szCs w:val="22"/>
        </w:rPr>
        <w:fldChar w:fldCharType="end"/>
      </w:r>
      <w:r w:rsidRPr="007F4E9F">
        <w:rPr>
          <w:rFonts w:ascii="Times New Roman" w:hAnsi="Times New Roman" w:cs="Times New Roman"/>
          <w:sz w:val="22"/>
          <w:szCs w:val="22"/>
        </w:rPr>
        <w:t xml:space="preserve"> </w:t>
      </w:r>
      <w:r w:rsidRPr="007F4E9F">
        <w:rPr>
          <w:rFonts w:ascii="Times New Roman" w:hAnsi="Times New Roman" w:cs="Times New Roman"/>
          <w:i/>
          <w:iCs/>
          <w:sz w:val="22"/>
          <w:szCs w:val="22"/>
        </w:rPr>
        <w:t>Sectores con potencial de economía circular por ciudad</w:t>
      </w:r>
      <w:bookmarkEnd w:id="44"/>
      <w:bookmarkEnd w:id="45"/>
    </w:p>
    <w:tbl>
      <w:tblPr>
        <w:tblpPr w:leftFromText="141" w:rightFromText="141" w:vertAnchor="text" w:tblpY="233"/>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25"/>
        <w:gridCol w:w="1726"/>
        <w:gridCol w:w="1727"/>
        <w:gridCol w:w="1726"/>
        <w:gridCol w:w="1726"/>
      </w:tblGrid>
      <w:tr w:rsidR="004161BE" w:rsidRPr="007F4E9F" w14:paraId="0E8FE9DC" w14:textId="77777777" w:rsidTr="000949EC">
        <w:tc>
          <w:tcPr>
            <w:tcW w:w="1725" w:type="dxa"/>
            <w:vAlign w:val="center"/>
          </w:tcPr>
          <w:p w14:paraId="5EF38A3F" w14:textId="77777777" w:rsidR="004161BE" w:rsidRPr="007F4E9F" w:rsidRDefault="004161BE" w:rsidP="000949EC">
            <w:pPr>
              <w:spacing w:line="240" w:lineRule="auto"/>
              <w:jc w:val="both"/>
              <w:rPr>
                <w:rFonts w:ascii="Times New Roman" w:eastAsia="Times New Roman" w:hAnsi="Times New Roman" w:cs="Times New Roman"/>
                <w:b/>
                <w:bCs/>
              </w:rPr>
            </w:pPr>
            <w:r w:rsidRPr="007F4E9F">
              <w:rPr>
                <w:rFonts w:ascii="Times New Roman" w:eastAsia="Times New Roman" w:hAnsi="Times New Roman" w:cs="Times New Roman"/>
                <w:b/>
                <w:bCs/>
              </w:rPr>
              <w:t>Dimensión</w:t>
            </w:r>
          </w:p>
        </w:tc>
        <w:tc>
          <w:tcPr>
            <w:tcW w:w="1726" w:type="dxa"/>
            <w:vAlign w:val="center"/>
          </w:tcPr>
          <w:p w14:paraId="400B8454" w14:textId="77777777" w:rsidR="004161BE" w:rsidRPr="007F4E9F" w:rsidRDefault="004161BE" w:rsidP="000949EC">
            <w:pPr>
              <w:spacing w:line="240" w:lineRule="auto"/>
              <w:jc w:val="both"/>
              <w:rPr>
                <w:rFonts w:ascii="Times New Roman" w:eastAsia="Times New Roman" w:hAnsi="Times New Roman" w:cs="Times New Roman"/>
                <w:b/>
                <w:bCs/>
              </w:rPr>
            </w:pPr>
            <w:r w:rsidRPr="007F4E9F">
              <w:rPr>
                <w:rFonts w:ascii="Times New Roman" w:eastAsia="Times New Roman" w:hAnsi="Times New Roman" w:cs="Times New Roman"/>
                <w:b/>
                <w:bCs/>
              </w:rPr>
              <w:t>Bogotá</w:t>
            </w:r>
          </w:p>
        </w:tc>
        <w:tc>
          <w:tcPr>
            <w:tcW w:w="1727" w:type="dxa"/>
            <w:vAlign w:val="center"/>
          </w:tcPr>
          <w:p w14:paraId="14E06482" w14:textId="77777777" w:rsidR="004161BE" w:rsidRPr="007F4E9F" w:rsidRDefault="004161BE" w:rsidP="000949EC">
            <w:pPr>
              <w:spacing w:line="240" w:lineRule="auto"/>
              <w:jc w:val="both"/>
              <w:rPr>
                <w:rFonts w:ascii="Times New Roman" w:eastAsia="Times New Roman" w:hAnsi="Times New Roman" w:cs="Times New Roman"/>
                <w:b/>
                <w:bCs/>
              </w:rPr>
            </w:pPr>
            <w:r w:rsidRPr="007F4E9F">
              <w:rPr>
                <w:rFonts w:ascii="Times New Roman" w:eastAsia="Times New Roman" w:hAnsi="Times New Roman" w:cs="Times New Roman"/>
                <w:b/>
                <w:bCs/>
              </w:rPr>
              <w:t>Quito</w:t>
            </w:r>
          </w:p>
        </w:tc>
        <w:tc>
          <w:tcPr>
            <w:tcW w:w="1726" w:type="dxa"/>
            <w:vAlign w:val="center"/>
          </w:tcPr>
          <w:p w14:paraId="7F7C8878" w14:textId="77777777" w:rsidR="004161BE" w:rsidRPr="007F4E9F" w:rsidRDefault="004161BE" w:rsidP="000949EC">
            <w:pPr>
              <w:spacing w:line="240" w:lineRule="auto"/>
              <w:jc w:val="both"/>
              <w:rPr>
                <w:rFonts w:ascii="Times New Roman" w:eastAsia="Times New Roman" w:hAnsi="Times New Roman" w:cs="Times New Roman"/>
                <w:b/>
                <w:bCs/>
              </w:rPr>
            </w:pPr>
            <w:r w:rsidRPr="007F4E9F">
              <w:rPr>
                <w:rFonts w:ascii="Times New Roman" w:eastAsia="Times New Roman" w:hAnsi="Times New Roman" w:cs="Times New Roman"/>
                <w:b/>
                <w:bCs/>
              </w:rPr>
              <w:t>Lima</w:t>
            </w:r>
          </w:p>
        </w:tc>
        <w:tc>
          <w:tcPr>
            <w:tcW w:w="1726" w:type="dxa"/>
            <w:vAlign w:val="center"/>
          </w:tcPr>
          <w:p w14:paraId="678C5B1A" w14:textId="77777777" w:rsidR="004161BE" w:rsidRPr="007F4E9F" w:rsidRDefault="004161BE" w:rsidP="000949EC">
            <w:pPr>
              <w:spacing w:line="240" w:lineRule="auto"/>
              <w:jc w:val="both"/>
              <w:rPr>
                <w:rFonts w:ascii="Times New Roman" w:eastAsia="Times New Roman" w:hAnsi="Times New Roman" w:cs="Times New Roman"/>
                <w:b/>
                <w:bCs/>
              </w:rPr>
            </w:pPr>
            <w:r w:rsidRPr="007F4E9F">
              <w:rPr>
                <w:rFonts w:ascii="Times New Roman" w:eastAsia="Times New Roman" w:hAnsi="Times New Roman" w:cs="Times New Roman"/>
                <w:b/>
                <w:bCs/>
              </w:rPr>
              <w:t>Santiago de Chile</w:t>
            </w:r>
          </w:p>
        </w:tc>
      </w:tr>
      <w:tr w:rsidR="004161BE" w:rsidRPr="007F4E9F" w14:paraId="353AB637" w14:textId="77777777" w:rsidTr="000949EC">
        <w:tc>
          <w:tcPr>
            <w:tcW w:w="1725" w:type="dxa"/>
            <w:vAlign w:val="center"/>
          </w:tcPr>
          <w:p w14:paraId="420B689A"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Fuentes principales de consulta</w:t>
            </w:r>
          </w:p>
        </w:tc>
        <w:tc>
          <w:tcPr>
            <w:tcW w:w="1726" w:type="dxa"/>
            <w:vAlign w:val="center"/>
          </w:tcPr>
          <w:p w14:paraId="4AB8A0F4"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SDDE, ODEB, DANE, Cámara de Comercio de Bogotá</w:t>
            </w:r>
          </w:p>
        </w:tc>
        <w:tc>
          <w:tcPr>
            <w:tcW w:w="1727" w:type="dxa"/>
            <w:vAlign w:val="center"/>
          </w:tcPr>
          <w:p w14:paraId="280395A5"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INEC, BCE, Agenda de Competitividad de Quito, Libro Blanco de Economía Circular</w:t>
            </w:r>
          </w:p>
        </w:tc>
        <w:tc>
          <w:tcPr>
            <w:tcW w:w="1726" w:type="dxa"/>
            <w:vAlign w:val="center"/>
          </w:tcPr>
          <w:p w14:paraId="2C90AF16"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 xml:space="preserve">INEI, MEF, </w:t>
            </w:r>
            <w:bookmarkStart w:id="46" w:name="_Hlk225405767"/>
            <w:r w:rsidRPr="007F4E9F">
              <w:rPr>
                <w:rFonts w:ascii="Times New Roman" w:eastAsia="Times New Roman" w:hAnsi="Times New Roman" w:cs="Times New Roman"/>
              </w:rPr>
              <w:t>PRODUCE</w:t>
            </w:r>
            <w:bookmarkEnd w:id="46"/>
            <w:r w:rsidRPr="007F4E9F">
              <w:rPr>
                <w:rFonts w:ascii="Times New Roman" w:eastAsia="Times New Roman" w:hAnsi="Times New Roman" w:cs="Times New Roman"/>
              </w:rPr>
              <w:t>, Cámara de Comercio de Lima, MINAM</w:t>
            </w:r>
          </w:p>
        </w:tc>
        <w:tc>
          <w:tcPr>
            <w:tcW w:w="1726" w:type="dxa"/>
            <w:vAlign w:val="center"/>
          </w:tcPr>
          <w:p w14:paraId="4599B828"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INE Chile, Banco Central de Chile, Ministerio de Economía, SOFOFA, Hoja de Ruta EC</w:t>
            </w:r>
          </w:p>
        </w:tc>
      </w:tr>
      <w:tr w:rsidR="004161BE" w:rsidRPr="007F4E9F" w14:paraId="654239AE" w14:textId="77777777" w:rsidTr="000949EC">
        <w:tc>
          <w:tcPr>
            <w:tcW w:w="1725" w:type="dxa"/>
            <w:vAlign w:val="center"/>
          </w:tcPr>
          <w:p w14:paraId="286D3419"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Criterios utilizados para la identificación</w:t>
            </w:r>
          </w:p>
        </w:tc>
        <w:tc>
          <w:tcPr>
            <w:tcW w:w="1726" w:type="dxa"/>
            <w:vAlign w:val="center"/>
          </w:tcPr>
          <w:p w14:paraId="00746DF1"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PIB/VAB, ventas, relevancia sectorial y referencia general a EC</w:t>
            </w:r>
          </w:p>
        </w:tc>
        <w:tc>
          <w:tcPr>
            <w:tcW w:w="1727" w:type="dxa"/>
            <w:vAlign w:val="center"/>
          </w:tcPr>
          <w:p w14:paraId="0DAA5546"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PIB/VAB, empleo, alineación estratégica con EC</w:t>
            </w:r>
          </w:p>
        </w:tc>
        <w:tc>
          <w:tcPr>
            <w:tcW w:w="1726" w:type="dxa"/>
            <w:vAlign w:val="center"/>
          </w:tcPr>
          <w:p w14:paraId="5A96240A"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PIB, ventas, relevancia económica y lineamientos de EC</w:t>
            </w:r>
          </w:p>
        </w:tc>
        <w:tc>
          <w:tcPr>
            <w:tcW w:w="1726" w:type="dxa"/>
            <w:vAlign w:val="center"/>
          </w:tcPr>
          <w:p w14:paraId="4CF16F28"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PIB, ventas y alineación con hoja de ruta EC</w:t>
            </w:r>
          </w:p>
        </w:tc>
      </w:tr>
      <w:tr w:rsidR="004161BE" w:rsidRPr="007F4E9F" w14:paraId="635CD206" w14:textId="77777777" w:rsidTr="000949EC">
        <w:tc>
          <w:tcPr>
            <w:tcW w:w="1725" w:type="dxa"/>
            <w:vAlign w:val="center"/>
          </w:tcPr>
          <w:p w14:paraId="38ABB47C"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Enfoque dominante</w:t>
            </w:r>
          </w:p>
        </w:tc>
        <w:tc>
          <w:tcPr>
            <w:tcW w:w="1726" w:type="dxa"/>
            <w:vAlign w:val="center"/>
          </w:tcPr>
          <w:p w14:paraId="2E37BE95"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Económico-sectorial (ventas, VAB)</w:t>
            </w:r>
          </w:p>
        </w:tc>
        <w:tc>
          <w:tcPr>
            <w:tcW w:w="1727" w:type="dxa"/>
            <w:vAlign w:val="center"/>
          </w:tcPr>
          <w:p w14:paraId="2B972330"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Económico + estratégico (puntajes, EC)</w:t>
            </w:r>
          </w:p>
        </w:tc>
        <w:tc>
          <w:tcPr>
            <w:tcW w:w="1726" w:type="dxa"/>
            <w:vAlign w:val="center"/>
          </w:tcPr>
          <w:p w14:paraId="602D9FBC"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Económico con marco normativo de EC</w:t>
            </w:r>
          </w:p>
        </w:tc>
        <w:tc>
          <w:tcPr>
            <w:tcW w:w="1726" w:type="dxa"/>
            <w:vAlign w:val="center"/>
          </w:tcPr>
          <w:p w14:paraId="5155CB15"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Económico con fuerte alineación a política pública EC</w:t>
            </w:r>
          </w:p>
        </w:tc>
      </w:tr>
      <w:tr w:rsidR="004161BE" w:rsidRPr="007F4E9F" w14:paraId="51BBAAAF" w14:textId="77777777" w:rsidTr="000949EC">
        <w:tc>
          <w:tcPr>
            <w:tcW w:w="1725" w:type="dxa"/>
            <w:vAlign w:val="center"/>
          </w:tcPr>
          <w:p w14:paraId="7AF21182"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Sectores priorizados</w:t>
            </w:r>
          </w:p>
        </w:tc>
        <w:tc>
          <w:tcPr>
            <w:tcW w:w="1726" w:type="dxa"/>
            <w:vAlign w:val="center"/>
          </w:tcPr>
          <w:p w14:paraId="3396A68F"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Textil, construcción, Alimentos</w:t>
            </w:r>
          </w:p>
        </w:tc>
        <w:tc>
          <w:tcPr>
            <w:tcW w:w="1727" w:type="dxa"/>
            <w:vAlign w:val="center"/>
          </w:tcPr>
          <w:p w14:paraId="35807904"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 xml:space="preserve">Textil, construcción, plásticos </w:t>
            </w:r>
          </w:p>
        </w:tc>
        <w:tc>
          <w:tcPr>
            <w:tcW w:w="1726" w:type="dxa"/>
            <w:vAlign w:val="center"/>
          </w:tcPr>
          <w:p w14:paraId="1CAF69B8"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Textil, plásticos y alimentos</w:t>
            </w:r>
          </w:p>
        </w:tc>
        <w:tc>
          <w:tcPr>
            <w:tcW w:w="1726" w:type="dxa"/>
            <w:vAlign w:val="center"/>
          </w:tcPr>
          <w:p w14:paraId="10777477"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Textil, construcción, plásticos</w:t>
            </w:r>
          </w:p>
        </w:tc>
      </w:tr>
    </w:tbl>
    <w:p w14:paraId="278FD0EB" w14:textId="7A6DED59" w:rsidR="004161BE" w:rsidRPr="007F4E9F" w:rsidRDefault="004161BE" w:rsidP="004161BE">
      <w:pPr>
        <w:spacing w:line="240" w:lineRule="auto"/>
        <w:jc w:val="both"/>
        <w:rPr>
          <w:rFonts w:ascii="Times New Roman" w:hAnsi="Times New Roman"/>
        </w:rPr>
      </w:pPr>
      <w:r w:rsidRPr="007F4E9F">
        <w:rPr>
          <w:rFonts w:ascii="Times New Roman" w:hAnsi="Times New Roman"/>
        </w:rPr>
        <w:t xml:space="preserve">Fuente: Elaboración propia con base en </w:t>
      </w:r>
      <w:r w:rsidRPr="007F4E9F">
        <w:rPr>
          <w:rStyle w:val="whitespace-normal"/>
          <w:rFonts w:ascii="Times New Roman" w:hAnsi="Times New Roman"/>
        </w:rPr>
        <w:t>ADA shared services solutions</w:t>
      </w:r>
      <w:r w:rsidRPr="007F4E9F">
        <w:rPr>
          <w:rFonts w:ascii="Times New Roman" w:hAnsi="Times New Roman"/>
        </w:rPr>
        <w:t xml:space="preserve"> (</w:t>
      </w:r>
      <w:r w:rsidR="0030402A" w:rsidRPr="007F4E9F">
        <w:rPr>
          <w:rFonts w:ascii="Times New Roman" w:eastAsia="Times New Roman" w:hAnsi="Times New Roman" w:cs="Times New Roman"/>
        </w:rPr>
        <w:t>2024a, 2024b, 2024c, 2024d</w:t>
      </w:r>
      <w:r w:rsidRPr="007F4E9F">
        <w:rPr>
          <w:rFonts w:ascii="Times New Roman" w:hAnsi="Times New Roman"/>
        </w:rPr>
        <w:t xml:space="preserve">), </w:t>
      </w:r>
      <w:r w:rsidRPr="007F4E9F">
        <w:rPr>
          <w:rStyle w:val="Emphasis"/>
          <w:rFonts w:ascii="Times New Roman" w:hAnsi="Times New Roman"/>
        </w:rPr>
        <w:t>Caracterización técnica, normativa, política y de mercado en tres sectores priorizados</w:t>
      </w:r>
      <w:r w:rsidRPr="007F4E9F">
        <w:rPr>
          <w:rFonts w:ascii="Times New Roman" w:hAnsi="Times New Roman"/>
        </w:rPr>
        <w:t xml:space="preserve"> para las ciudades de Bogotá D.C., Quito, Lima y Santiago de Chile.</w:t>
      </w:r>
    </w:p>
    <w:p w14:paraId="534E9CF0" w14:textId="076331D7" w:rsidR="004161BE" w:rsidRPr="007F4E9F" w:rsidRDefault="004161BE" w:rsidP="004161BE">
      <w:pPr>
        <w:spacing w:line="240" w:lineRule="auto"/>
        <w:jc w:val="both"/>
        <w:rPr>
          <w:rFonts w:ascii="Times New Roman" w:hAnsi="Times New Roman" w:cs="Times New Roman"/>
        </w:rPr>
      </w:pPr>
      <w:r w:rsidRPr="007F4E9F">
        <w:rPr>
          <w:rFonts w:ascii="Times New Roman" w:hAnsi="Times New Roman" w:cs="Times New Roman"/>
        </w:rPr>
        <w:t xml:space="preserve">El análisis comparativo de las cuatro ciudades muestra una convergencia en sectores urbanos con alto potencial para la economía circular: </w:t>
      </w:r>
      <w:r w:rsidRPr="007F4E9F">
        <w:rPr>
          <w:rStyle w:val="Strong"/>
          <w:rFonts w:ascii="Times New Roman" w:hAnsi="Times New Roman" w:cs="Times New Roman"/>
        </w:rPr>
        <w:t>textil (presente en las cuatro ciudades), construcción y plásticos (en tres ciudades) y alimentos (en dos)</w:t>
      </w:r>
      <w:r w:rsidRPr="007F4E9F">
        <w:rPr>
          <w:rFonts w:ascii="Times New Roman" w:hAnsi="Times New Roman" w:cs="Times New Roman"/>
        </w:rPr>
        <w:t xml:space="preserve">. Esta coincidencia indica que la intervención se orientó hacia actividades productivas relevantes para las 4 ciudades, caracterizadas por flujos significativos de materiales y oportunidades de reutilización y cierre de ciclos </w:t>
      </w:r>
      <w:sdt>
        <w:sdtPr>
          <w:rPr>
            <w:rFonts w:ascii="Times New Roman" w:hAnsi="Times New Roman" w:cs="Times New Roman"/>
          </w:rPr>
          <w:id w:val="-1521147125"/>
          <w:citation/>
        </w:sdtPr>
        <w:sdtContent>
          <w:r w:rsidRPr="007F4E9F">
            <w:rPr>
              <w:rFonts w:ascii="Times New Roman" w:hAnsi="Times New Roman" w:cs="Times New Roman"/>
            </w:rPr>
            <w:fldChar w:fldCharType="begin"/>
          </w:r>
          <w:r w:rsidRPr="007F4E9F">
            <w:rPr>
              <w:rFonts w:ascii="Times New Roman" w:hAnsi="Times New Roman" w:cs="Times New Roman"/>
              <w:lang w:val="es-ES"/>
            </w:rPr>
            <w:instrText xml:space="preserve"> CITATION ADA231 \l 3082 </w:instrText>
          </w:r>
          <w:r w:rsidRPr="007F4E9F">
            <w:rPr>
              <w:rFonts w:ascii="Times New Roman" w:hAnsi="Times New Roman" w:cs="Times New Roman"/>
            </w:rPr>
            <w:fldChar w:fldCharType="separate"/>
          </w:r>
          <w:r w:rsidRPr="007F4E9F">
            <w:rPr>
              <w:rFonts w:ascii="Times New Roman" w:hAnsi="Times New Roman" w:cs="Times New Roman"/>
              <w:noProof/>
              <w:lang w:val="es-ES"/>
            </w:rPr>
            <w:t>(ADA services shared solutions, 2023)</w:t>
          </w:r>
          <w:r w:rsidRPr="007F4E9F">
            <w:rPr>
              <w:rFonts w:ascii="Times New Roman" w:hAnsi="Times New Roman" w:cs="Times New Roman"/>
            </w:rPr>
            <w:fldChar w:fldCharType="end"/>
          </w:r>
        </w:sdtContent>
      </w:sdt>
      <w:r w:rsidRPr="007F4E9F">
        <w:rPr>
          <w:rFonts w:ascii="Times New Roman" w:hAnsi="Times New Roman" w:cs="Times New Roman"/>
        </w:rPr>
        <w:t xml:space="preserve">. Se presentan algunas diferencias en la priorización sectorial que responden principalmente a los enfoques utilizados y a la información disponible en cada ciudad: mientras </w:t>
      </w:r>
      <w:r w:rsidRPr="007F4E9F">
        <w:rPr>
          <w:rStyle w:val="Strong"/>
          <w:rFonts w:ascii="Times New Roman" w:hAnsi="Times New Roman" w:cs="Times New Roman"/>
        </w:rPr>
        <w:t>Quito y Santiago de Chile</w:t>
      </w:r>
      <w:r w:rsidRPr="007F4E9F">
        <w:rPr>
          <w:rFonts w:ascii="Times New Roman" w:hAnsi="Times New Roman" w:cs="Times New Roman"/>
        </w:rPr>
        <w:t xml:space="preserve"> presentan una mayor alineación con políticas y hojas de ruta de economía circular, </w:t>
      </w:r>
      <w:r w:rsidRPr="007F4E9F">
        <w:rPr>
          <w:rStyle w:val="Strong"/>
          <w:rFonts w:ascii="Times New Roman" w:hAnsi="Times New Roman" w:cs="Times New Roman"/>
        </w:rPr>
        <w:t>Bogotá y Lima</w:t>
      </w:r>
      <w:r w:rsidRPr="007F4E9F">
        <w:rPr>
          <w:rFonts w:ascii="Times New Roman" w:hAnsi="Times New Roman" w:cs="Times New Roman"/>
        </w:rPr>
        <w:t xml:space="preserve"> priorizan sectores según su peso económico en la estructura productiva local </w:t>
      </w:r>
      <w:r w:rsidR="00E14E42" w:rsidRPr="007F4E9F">
        <w:rPr>
          <w:rFonts w:ascii="Times New Roman" w:eastAsia="Times New Roman" w:hAnsi="Times New Roman" w:cs="Times New Roman"/>
        </w:rPr>
        <w:t>(ADA shared, services solutions, 2023a, 2023b, 2023c, 2023d).</w:t>
      </w:r>
    </w:p>
    <w:p w14:paraId="09E78DAA" w14:textId="77777777" w:rsidR="004161BE" w:rsidRPr="007F4E9F" w:rsidRDefault="004161BE" w:rsidP="004161BE">
      <w:pPr>
        <w:pStyle w:val="Heading5"/>
        <w:spacing w:line="240" w:lineRule="auto"/>
        <w:rPr>
          <w:rFonts w:ascii="Times New Roman" w:hAnsi="Times New Roman"/>
        </w:rPr>
      </w:pPr>
      <w:bookmarkStart w:id="47" w:name="_Toc225500052"/>
      <w:bookmarkStart w:id="48" w:name="_Toc226750192"/>
      <w:r w:rsidRPr="007F4E9F">
        <w:rPr>
          <w:rFonts w:ascii="Times New Roman" w:hAnsi="Times New Roman"/>
        </w:rPr>
        <w:t>Sistema de indicadores</w:t>
      </w:r>
      <w:bookmarkEnd w:id="47"/>
      <w:bookmarkEnd w:id="48"/>
    </w:p>
    <w:p w14:paraId="13326A82" w14:textId="77777777" w:rsidR="004161BE" w:rsidRPr="007F4E9F" w:rsidRDefault="004161BE" w:rsidP="004161BE">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La selección de indicadores debía ser el resultado de un proceso de concertación con las ciudades beneficiarias. Sin embargo, en el documento no se identifican elementos verificables que den cuenta de dicho proceso, tales como: actas de validación, talleres o espacios de co-creación, matrices de retroalimentación por ciudad, galería de fotos de los espacios colaborativos y ajustes diferenciados a los indicadores según contexto local. No obstante, al solicitar información adicional la Secretaría Distrital de Ambiente de Bogotá, SDA, se pueden revisar correos cruzados con las entidades que dan cuenta de la revisión del os indicadores propuestos y recomendaciones de ajustes.</w:t>
      </w:r>
    </w:p>
    <w:p w14:paraId="102CB61A" w14:textId="0B6D9E45" w:rsidR="004161BE" w:rsidRPr="007F4E9F" w:rsidRDefault="004161BE" w:rsidP="004161BE">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La selección de indicadores se presenta principalmente como el resultado de un ejercicio técnico basado en revisión bibliográfica y experticia del equipo implementador, lo cual, aunque válido metodológicamente, no permite verificar la incorporación de las prioridades, capacidades o necesidades específicas de las ciudades. Esto resulta particularmente relevante dado que el Marketplace opera en contextos urbanos diversos, con distintos niveles de madurez institucional, disponibilidad de datos y dinámicas sectoriales propios de cada ciudad</w:t>
      </w:r>
      <w:r w:rsidR="00E14E42" w:rsidRPr="007F4E9F">
        <w:rPr>
          <w:rFonts w:ascii="Times New Roman" w:eastAsia="Times New Roman" w:hAnsi="Times New Roman" w:cs="Times New Roman"/>
        </w:rPr>
        <w:t xml:space="preserve"> (ADA shared, services solutions, 2024e, 2024m).</w:t>
      </w:r>
    </w:p>
    <w:p w14:paraId="1E52B1C1" w14:textId="77777777" w:rsidR="004161BE" w:rsidRPr="007F4E9F" w:rsidRDefault="004161BE" w:rsidP="004161BE">
      <w:pPr>
        <w:spacing w:line="240" w:lineRule="auto"/>
        <w:rPr>
          <w:rFonts w:ascii="Times New Roman" w:hAnsi="Times New Roman"/>
        </w:rPr>
      </w:pPr>
    </w:p>
    <w:p w14:paraId="6579F654" w14:textId="77777777" w:rsidR="004161BE" w:rsidRPr="007F4E9F" w:rsidRDefault="004161BE" w:rsidP="004161BE">
      <w:pPr>
        <w:pStyle w:val="Heading4"/>
        <w:spacing w:line="240" w:lineRule="auto"/>
        <w:jc w:val="both"/>
        <w:rPr>
          <w:rFonts w:ascii="Times New Roman" w:hAnsi="Times New Roman"/>
        </w:rPr>
      </w:pPr>
      <w:bookmarkStart w:id="49" w:name="_Toc225500053"/>
      <w:bookmarkStart w:id="50" w:name="_Toc226750193"/>
      <w:r w:rsidRPr="007F4E9F">
        <w:rPr>
          <w:rFonts w:ascii="Times New Roman" w:hAnsi="Times New Roman"/>
        </w:rPr>
        <w:t>Relevancia frente a las prioridades locales y regionales de sostenibilidad.</w:t>
      </w:r>
      <w:bookmarkEnd w:id="49"/>
      <w:bookmarkEnd w:id="50"/>
    </w:p>
    <w:p w14:paraId="12EBDDB8" w14:textId="77777777" w:rsidR="004161BE" w:rsidRPr="007F4E9F" w:rsidRDefault="004161BE" w:rsidP="004161BE">
      <w:pPr>
        <w:pStyle w:val="Heading5"/>
        <w:spacing w:line="240" w:lineRule="auto"/>
        <w:rPr>
          <w:rFonts w:ascii="Times New Roman" w:hAnsi="Times New Roman"/>
        </w:rPr>
      </w:pPr>
      <w:bookmarkStart w:id="51" w:name="_Toc225500054"/>
      <w:bookmarkStart w:id="52" w:name="_Toc226750194"/>
      <w:r w:rsidRPr="007F4E9F">
        <w:rPr>
          <w:rFonts w:ascii="Times New Roman" w:hAnsi="Times New Roman"/>
        </w:rPr>
        <w:t>Plataforma digital de alcance regional</w:t>
      </w:r>
      <w:bookmarkEnd w:id="51"/>
      <w:bookmarkEnd w:id="52"/>
    </w:p>
    <w:p w14:paraId="7DA59037" w14:textId="79872BB1" w:rsidR="004161BE" w:rsidRPr="007F4E9F" w:rsidRDefault="004161BE" w:rsidP="004161BE">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 xml:space="preserve">La revisión documental permitió verificar que se llevó a cabo una caracterización técnica, normativa, política y de mercado en los 3 sectores económicos priorizados por cada </w:t>
      </w:r>
      <w:r w:rsidR="00E14E42" w:rsidRPr="007F4E9F">
        <w:rPr>
          <w:rFonts w:ascii="Times New Roman" w:eastAsia="Times New Roman" w:hAnsi="Times New Roman" w:cs="Times New Roman"/>
        </w:rPr>
        <w:t xml:space="preserve">ciudad (ADA shared, services solutions, 2024a, 2024b, 2024c, 2024d). </w:t>
      </w:r>
      <w:r w:rsidRPr="007F4E9F">
        <w:rPr>
          <w:rFonts w:ascii="Times New Roman" w:eastAsia="Times New Roman" w:hAnsi="Times New Roman" w:cs="Times New Roman"/>
        </w:rPr>
        <w:t>Para ello se elaboraron informes técnicos sintéticos que contienen información referente a las oportunidades circulares, las materias primas sostenibles, el contexto del sector productivo, el marco normativo y político y las tendencias y desafíos de cada sector. La tabla 5 presenta un resumen de la evaluación técnica mencionada.</w:t>
      </w:r>
    </w:p>
    <w:p w14:paraId="539A8CE8" w14:textId="0F291856" w:rsidR="004161BE" w:rsidRPr="007F4E9F" w:rsidRDefault="004161BE" w:rsidP="004161BE">
      <w:pPr>
        <w:pStyle w:val="Caption"/>
        <w:keepNext/>
        <w:jc w:val="both"/>
        <w:rPr>
          <w:rFonts w:ascii="Times New Roman" w:hAnsi="Times New Roman" w:cs="Times New Roman"/>
          <w:sz w:val="22"/>
          <w:szCs w:val="22"/>
        </w:rPr>
      </w:pPr>
      <w:bookmarkStart w:id="53" w:name="_Toc225500098"/>
      <w:bookmarkStart w:id="54" w:name="_Toc225848231"/>
      <w:r w:rsidRPr="007F4E9F">
        <w:rPr>
          <w:rFonts w:ascii="Times New Roman" w:hAnsi="Times New Roman" w:cs="Times New Roman"/>
          <w:sz w:val="22"/>
          <w:szCs w:val="22"/>
        </w:rPr>
        <w:t xml:space="preserve">Tabla </w:t>
      </w:r>
      <w:r w:rsidRPr="007F4E9F">
        <w:rPr>
          <w:rFonts w:ascii="Times New Roman" w:hAnsi="Times New Roman" w:cs="Times New Roman"/>
          <w:sz w:val="22"/>
          <w:szCs w:val="22"/>
        </w:rPr>
        <w:fldChar w:fldCharType="begin"/>
      </w:r>
      <w:r w:rsidRPr="007F4E9F">
        <w:rPr>
          <w:rFonts w:ascii="Times New Roman" w:hAnsi="Times New Roman" w:cs="Times New Roman"/>
          <w:sz w:val="22"/>
          <w:szCs w:val="22"/>
        </w:rPr>
        <w:instrText xml:space="preserve"> SEQ Tabla \* ARABIC </w:instrText>
      </w:r>
      <w:r w:rsidRPr="007F4E9F">
        <w:rPr>
          <w:rFonts w:ascii="Times New Roman" w:hAnsi="Times New Roman" w:cs="Times New Roman"/>
          <w:sz w:val="22"/>
          <w:szCs w:val="22"/>
        </w:rPr>
        <w:fldChar w:fldCharType="separate"/>
      </w:r>
      <w:r w:rsidR="00CB1A80" w:rsidRPr="007F4E9F">
        <w:rPr>
          <w:rFonts w:ascii="Times New Roman" w:hAnsi="Times New Roman" w:cs="Times New Roman"/>
          <w:noProof/>
          <w:sz w:val="22"/>
          <w:szCs w:val="22"/>
        </w:rPr>
        <w:t>5</w:t>
      </w:r>
      <w:r w:rsidRPr="007F4E9F">
        <w:rPr>
          <w:rFonts w:ascii="Times New Roman" w:hAnsi="Times New Roman" w:cs="Times New Roman"/>
          <w:sz w:val="22"/>
          <w:szCs w:val="22"/>
        </w:rPr>
        <w:fldChar w:fldCharType="end"/>
      </w:r>
      <w:r w:rsidRPr="007F4E9F">
        <w:rPr>
          <w:rFonts w:ascii="Times New Roman" w:hAnsi="Times New Roman" w:cs="Times New Roman"/>
          <w:sz w:val="22"/>
          <w:szCs w:val="22"/>
        </w:rPr>
        <w:t xml:space="preserve"> </w:t>
      </w:r>
      <w:r w:rsidRPr="007F4E9F">
        <w:rPr>
          <w:rFonts w:ascii="Times New Roman" w:hAnsi="Times New Roman" w:cs="Times New Roman"/>
          <w:i/>
          <w:iCs/>
          <w:sz w:val="22"/>
          <w:szCs w:val="22"/>
        </w:rPr>
        <w:t>Evaluación técnica de los sectores priorizados por ciudad</w:t>
      </w:r>
      <w:bookmarkEnd w:id="53"/>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31"/>
        <w:gridCol w:w="1228"/>
        <w:gridCol w:w="1433"/>
        <w:gridCol w:w="1500"/>
        <w:gridCol w:w="1625"/>
      </w:tblGrid>
      <w:tr w:rsidR="004161BE" w:rsidRPr="007F4E9F" w14:paraId="0D61EB91" w14:textId="77777777" w:rsidTr="000949EC">
        <w:tc>
          <w:tcPr>
            <w:tcW w:w="1413" w:type="dxa"/>
            <w:vAlign w:val="center"/>
          </w:tcPr>
          <w:p w14:paraId="6B1C9518" w14:textId="77777777" w:rsidR="004161BE" w:rsidRPr="007F4E9F" w:rsidRDefault="004161BE" w:rsidP="000949EC">
            <w:pPr>
              <w:spacing w:line="240" w:lineRule="auto"/>
              <w:jc w:val="both"/>
              <w:rPr>
                <w:rFonts w:ascii="Times New Roman" w:hAnsi="Times New Roman" w:cs="Times New Roman"/>
                <w:b/>
                <w:bCs/>
              </w:rPr>
            </w:pPr>
            <w:r w:rsidRPr="007F4E9F">
              <w:rPr>
                <w:rFonts w:ascii="Times New Roman" w:hAnsi="Times New Roman" w:cs="Times New Roman"/>
                <w:b/>
                <w:bCs/>
              </w:rPr>
              <w:t>Sector económico</w:t>
            </w:r>
          </w:p>
        </w:tc>
        <w:tc>
          <w:tcPr>
            <w:tcW w:w="1431" w:type="dxa"/>
            <w:vAlign w:val="center"/>
          </w:tcPr>
          <w:p w14:paraId="42909A60" w14:textId="77777777" w:rsidR="004161BE" w:rsidRPr="007F4E9F" w:rsidRDefault="004161BE" w:rsidP="000949EC">
            <w:pPr>
              <w:spacing w:line="240" w:lineRule="auto"/>
              <w:jc w:val="both"/>
              <w:rPr>
                <w:rFonts w:ascii="Times New Roman" w:hAnsi="Times New Roman" w:cs="Times New Roman"/>
                <w:b/>
                <w:bCs/>
              </w:rPr>
            </w:pPr>
            <w:r w:rsidRPr="007F4E9F">
              <w:rPr>
                <w:rFonts w:ascii="Times New Roman" w:hAnsi="Times New Roman" w:cs="Times New Roman"/>
                <w:b/>
                <w:bCs/>
              </w:rPr>
              <w:t>Oportunidades de economía circular</w:t>
            </w:r>
          </w:p>
        </w:tc>
        <w:tc>
          <w:tcPr>
            <w:tcW w:w="1228" w:type="dxa"/>
            <w:vAlign w:val="center"/>
          </w:tcPr>
          <w:p w14:paraId="407F3B01" w14:textId="77777777" w:rsidR="004161BE" w:rsidRPr="007F4E9F" w:rsidRDefault="004161BE" w:rsidP="000949EC">
            <w:pPr>
              <w:spacing w:line="240" w:lineRule="auto"/>
              <w:jc w:val="both"/>
              <w:rPr>
                <w:rFonts w:ascii="Times New Roman" w:hAnsi="Times New Roman" w:cs="Times New Roman"/>
                <w:b/>
                <w:bCs/>
              </w:rPr>
            </w:pPr>
            <w:r w:rsidRPr="007F4E9F">
              <w:rPr>
                <w:rFonts w:ascii="Times New Roman" w:hAnsi="Times New Roman" w:cs="Times New Roman"/>
                <w:b/>
                <w:bCs/>
              </w:rPr>
              <w:t>Materias primas sostenibles</w:t>
            </w:r>
          </w:p>
        </w:tc>
        <w:tc>
          <w:tcPr>
            <w:tcW w:w="1433" w:type="dxa"/>
            <w:vAlign w:val="center"/>
          </w:tcPr>
          <w:p w14:paraId="6C075EF1" w14:textId="77777777" w:rsidR="004161BE" w:rsidRPr="007F4E9F" w:rsidRDefault="004161BE" w:rsidP="000949EC">
            <w:pPr>
              <w:spacing w:line="240" w:lineRule="auto"/>
              <w:jc w:val="both"/>
              <w:rPr>
                <w:rFonts w:ascii="Times New Roman" w:hAnsi="Times New Roman" w:cs="Times New Roman"/>
                <w:b/>
                <w:bCs/>
              </w:rPr>
            </w:pPr>
            <w:r w:rsidRPr="007F4E9F">
              <w:rPr>
                <w:rFonts w:ascii="Times New Roman" w:hAnsi="Times New Roman" w:cs="Times New Roman"/>
                <w:b/>
                <w:bCs/>
              </w:rPr>
              <w:t>Contexto productivo del sector</w:t>
            </w:r>
          </w:p>
        </w:tc>
        <w:tc>
          <w:tcPr>
            <w:tcW w:w="1500" w:type="dxa"/>
            <w:vAlign w:val="center"/>
          </w:tcPr>
          <w:p w14:paraId="71D22BA0" w14:textId="77777777" w:rsidR="004161BE" w:rsidRPr="007F4E9F" w:rsidRDefault="004161BE" w:rsidP="000949EC">
            <w:pPr>
              <w:spacing w:line="240" w:lineRule="auto"/>
              <w:jc w:val="both"/>
              <w:rPr>
                <w:rFonts w:ascii="Times New Roman" w:hAnsi="Times New Roman" w:cs="Times New Roman"/>
                <w:b/>
                <w:bCs/>
              </w:rPr>
            </w:pPr>
            <w:r w:rsidRPr="007F4E9F">
              <w:rPr>
                <w:rFonts w:ascii="Times New Roman" w:hAnsi="Times New Roman" w:cs="Times New Roman"/>
                <w:b/>
                <w:bCs/>
              </w:rPr>
              <w:t>Marco normativo y político</w:t>
            </w:r>
          </w:p>
        </w:tc>
        <w:tc>
          <w:tcPr>
            <w:tcW w:w="1625" w:type="dxa"/>
            <w:vAlign w:val="center"/>
          </w:tcPr>
          <w:p w14:paraId="26E07E81" w14:textId="77777777" w:rsidR="004161BE" w:rsidRPr="007F4E9F" w:rsidRDefault="004161BE" w:rsidP="000949EC">
            <w:pPr>
              <w:spacing w:line="240" w:lineRule="auto"/>
              <w:jc w:val="both"/>
              <w:rPr>
                <w:rFonts w:ascii="Times New Roman" w:hAnsi="Times New Roman" w:cs="Times New Roman"/>
                <w:b/>
                <w:bCs/>
              </w:rPr>
            </w:pPr>
            <w:r w:rsidRPr="007F4E9F">
              <w:rPr>
                <w:rFonts w:ascii="Times New Roman" w:hAnsi="Times New Roman" w:cs="Times New Roman"/>
                <w:b/>
                <w:bCs/>
              </w:rPr>
              <w:t>Tendencias y desafíos</w:t>
            </w:r>
          </w:p>
        </w:tc>
      </w:tr>
      <w:tr w:rsidR="004161BE" w:rsidRPr="007F4E9F" w14:paraId="50467AB7" w14:textId="77777777" w:rsidTr="000949EC">
        <w:tc>
          <w:tcPr>
            <w:tcW w:w="1413" w:type="dxa"/>
            <w:vAlign w:val="center"/>
          </w:tcPr>
          <w:p w14:paraId="0096BED8"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Textil</w:t>
            </w:r>
          </w:p>
        </w:tc>
        <w:tc>
          <w:tcPr>
            <w:tcW w:w="1431" w:type="dxa"/>
            <w:vAlign w:val="center"/>
          </w:tcPr>
          <w:p w14:paraId="32241B8B"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Reciclaje de fibras, reutilización de textiles, modelos de moda circular</w:t>
            </w:r>
          </w:p>
        </w:tc>
        <w:tc>
          <w:tcPr>
            <w:tcW w:w="1228" w:type="dxa"/>
            <w:vAlign w:val="center"/>
          </w:tcPr>
          <w:p w14:paraId="2E416A61"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Fibras recicladas y textiles reutilizados</w:t>
            </w:r>
          </w:p>
        </w:tc>
        <w:tc>
          <w:tcPr>
            <w:tcW w:w="1433" w:type="dxa"/>
            <w:vAlign w:val="center"/>
          </w:tcPr>
          <w:p w14:paraId="1E9AEA23"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Sector manufacturero relevante con modernización progresiva de procesos productivos</w:t>
            </w:r>
          </w:p>
        </w:tc>
        <w:tc>
          <w:tcPr>
            <w:tcW w:w="1500" w:type="dxa"/>
            <w:vAlign w:val="center"/>
          </w:tcPr>
          <w:p w14:paraId="38150935"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Regulación ambiental y políticas de sostenibilidad</w:t>
            </w:r>
          </w:p>
        </w:tc>
        <w:tc>
          <w:tcPr>
            <w:tcW w:w="1625" w:type="dxa"/>
            <w:vAlign w:val="center"/>
          </w:tcPr>
          <w:p w14:paraId="1A0F1933"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Reducción de residuos textiles y adopción de modelos circulares</w:t>
            </w:r>
          </w:p>
        </w:tc>
      </w:tr>
      <w:tr w:rsidR="004161BE" w:rsidRPr="007F4E9F" w14:paraId="7D11EA5C" w14:textId="77777777" w:rsidTr="000949EC">
        <w:tc>
          <w:tcPr>
            <w:tcW w:w="1413" w:type="dxa"/>
            <w:vAlign w:val="center"/>
          </w:tcPr>
          <w:p w14:paraId="3ADE995E"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Construcción</w:t>
            </w:r>
          </w:p>
        </w:tc>
        <w:tc>
          <w:tcPr>
            <w:tcW w:w="1431" w:type="dxa"/>
            <w:vAlign w:val="center"/>
          </w:tcPr>
          <w:p w14:paraId="08AE91A7"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Reutilización de materiales y reciclaje de residuos de construcción</w:t>
            </w:r>
          </w:p>
        </w:tc>
        <w:tc>
          <w:tcPr>
            <w:tcW w:w="1228" w:type="dxa"/>
            <w:vAlign w:val="center"/>
          </w:tcPr>
          <w:p w14:paraId="2C1679BA"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Materiales reciclados y reutilizables</w:t>
            </w:r>
          </w:p>
        </w:tc>
        <w:tc>
          <w:tcPr>
            <w:tcW w:w="1433" w:type="dxa"/>
            <w:vAlign w:val="center"/>
          </w:tcPr>
          <w:p w14:paraId="7548A80A"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Sector clave en el desarrollo urbano con alta demanda de materiales</w:t>
            </w:r>
          </w:p>
        </w:tc>
        <w:tc>
          <w:tcPr>
            <w:tcW w:w="1500" w:type="dxa"/>
            <w:vAlign w:val="center"/>
          </w:tcPr>
          <w:p w14:paraId="7F636ECE"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Normativas ambientales y programas de construcción sostenible</w:t>
            </w:r>
          </w:p>
        </w:tc>
        <w:tc>
          <w:tcPr>
            <w:tcW w:w="1625" w:type="dxa"/>
            <w:vAlign w:val="center"/>
          </w:tcPr>
          <w:p w14:paraId="249ED9B0"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Gestión de residuos de construcción y optimización del uso de recursos</w:t>
            </w:r>
          </w:p>
        </w:tc>
      </w:tr>
      <w:tr w:rsidR="004161BE" w:rsidRPr="007F4E9F" w14:paraId="78512481" w14:textId="77777777" w:rsidTr="000949EC">
        <w:tc>
          <w:tcPr>
            <w:tcW w:w="1413" w:type="dxa"/>
            <w:vAlign w:val="center"/>
          </w:tcPr>
          <w:p w14:paraId="3358B8D1"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Plásticos</w:t>
            </w:r>
          </w:p>
        </w:tc>
        <w:tc>
          <w:tcPr>
            <w:tcW w:w="1431" w:type="dxa"/>
            <w:vAlign w:val="center"/>
          </w:tcPr>
          <w:p w14:paraId="6DB70B41"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Reciclaje de plásticos y valorización de residuos</w:t>
            </w:r>
          </w:p>
        </w:tc>
        <w:tc>
          <w:tcPr>
            <w:tcW w:w="1228" w:type="dxa"/>
            <w:vAlign w:val="center"/>
          </w:tcPr>
          <w:p w14:paraId="2237BAF2"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Resinas recicladas</w:t>
            </w:r>
          </w:p>
        </w:tc>
        <w:tc>
          <w:tcPr>
            <w:tcW w:w="1433" w:type="dxa"/>
            <w:vAlign w:val="center"/>
          </w:tcPr>
          <w:p w14:paraId="4F0B92FB"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Industria manufacturera relevante con procesos intensivos en recursos</w:t>
            </w:r>
          </w:p>
        </w:tc>
        <w:tc>
          <w:tcPr>
            <w:tcW w:w="1500" w:type="dxa"/>
            <w:vAlign w:val="center"/>
          </w:tcPr>
          <w:p w14:paraId="0A128273"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Regulaciones sobre residuos plásticos y responsabilidad extendida del productor</w:t>
            </w:r>
          </w:p>
        </w:tc>
        <w:tc>
          <w:tcPr>
            <w:tcW w:w="1625" w:type="dxa"/>
            <w:vAlign w:val="center"/>
          </w:tcPr>
          <w:p w14:paraId="03233266"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Transición hacia reciclaje y reducción del uso de plásticos</w:t>
            </w:r>
          </w:p>
        </w:tc>
      </w:tr>
      <w:tr w:rsidR="004161BE" w:rsidRPr="007F4E9F" w14:paraId="37774DEB" w14:textId="77777777" w:rsidTr="000949EC">
        <w:tc>
          <w:tcPr>
            <w:tcW w:w="1413" w:type="dxa"/>
            <w:vAlign w:val="center"/>
          </w:tcPr>
          <w:p w14:paraId="5BF26492"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 xml:space="preserve">Alimentos </w:t>
            </w:r>
          </w:p>
        </w:tc>
        <w:tc>
          <w:tcPr>
            <w:tcW w:w="1431" w:type="dxa"/>
            <w:vAlign w:val="center"/>
          </w:tcPr>
          <w:p w14:paraId="7D09219B"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Valorización de residuos orgánicos y reducción del desperdicio alimentario</w:t>
            </w:r>
          </w:p>
        </w:tc>
        <w:tc>
          <w:tcPr>
            <w:tcW w:w="1228" w:type="dxa"/>
            <w:vAlign w:val="center"/>
          </w:tcPr>
          <w:p w14:paraId="625B3F14"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Insumos agrícolas y alimentarios sostenibles</w:t>
            </w:r>
          </w:p>
        </w:tc>
        <w:tc>
          <w:tcPr>
            <w:tcW w:w="1433" w:type="dxa"/>
            <w:vAlign w:val="center"/>
          </w:tcPr>
          <w:p w14:paraId="618FC133"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Sectores de servicios y agroindustria con alta generación de residuos orgánicos</w:t>
            </w:r>
          </w:p>
        </w:tc>
        <w:tc>
          <w:tcPr>
            <w:tcW w:w="1500" w:type="dxa"/>
            <w:vAlign w:val="center"/>
          </w:tcPr>
          <w:p w14:paraId="62F3A0AF"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Normativa sanitaria y ambiental</w:t>
            </w:r>
          </w:p>
        </w:tc>
        <w:tc>
          <w:tcPr>
            <w:tcW w:w="1625" w:type="dxa"/>
            <w:vAlign w:val="center"/>
          </w:tcPr>
          <w:p w14:paraId="37684DA4" w14:textId="77777777" w:rsidR="004161BE" w:rsidRPr="007F4E9F" w:rsidRDefault="004161BE" w:rsidP="000949EC">
            <w:pPr>
              <w:spacing w:line="240" w:lineRule="auto"/>
              <w:jc w:val="both"/>
              <w:rPr>
                <w:rFonts w:ascii="Times New Roman" w:hAnsi="Times New Roman" w:cs="Times New Roman"/>
              </w:rPr>
            </w:pPr>
            <w:r w:rsidRPr="007F4E9F">
              <w:rPr>
                <w:rFonts w:ascii="Times New Roman" w:hAnsi="Times New Roman" w:cs="Times New Roman"/>
              </w:rPr>
              <w:t>Reducción del desperdicio y aprovechamiento de subproductos</w:t>
            </w:r>
          </w:p>
        </w:tc>
      </w:tr>
    </w:tbl>
    <w:p w14:paraId="76F4F2D4" w14:textId="1FC63855" w:rsidR="004161BE" w:rsidRPr="007F4E9F" w:rsidRDefault="004161BE" w:rsidP="004161BE">
      <w:pPr>
        <w:spacing w:line="240" w:lineRule="auto"/>
        <w:jc w:val="both"/>
        <w:rPr>
          <w:rFonts w:ascii="Times New Roman" w:hAnsi="Times New Roman"/>
        </w:rPr>
      </w:pPr>
      <w:r w:rsidRPr="007F4E9F">
        <w:rPr>
          <w:rFonts w:ascii="Times New Roman" w:hAnsi="Times New Roman"/>
        </w:rPr>
        <w:t xml:space="preserve">Fuente: Elaboración propia con base en </w:t>
      </w:r>
      <w:r w:rsidRPr="007F4E9F">
        <w:rPr>
          <w:rStyle w:val="whitespace-normal"/>
          <w:rFonts w:ascii="Times New Roman" w:hAnsi="Times New Roman"/>
        </w:rPr>
        <w:t>ADA shared</w:t>
      </w:r>
      <w:r w:rsidR="00990AA6" w:rsidRPr="007F4E9F">
        <w:rPr>
          <w:rStyle w:val="whitespace-normal"/>
          <w:rFonts w:ascii="Times New Roman" w:hAnsi="Times New Roman"/>
        </w:rPr>
        <w:t xml:space="preserve"> services</w:t>
      </w:r>
      <w:r w:rsidRPr="007F4E9F">
        <w:rPr>
          <w:rStyle w:val="whitespace-normal"/>
          <w:rFonts w:ascii="Times New Roman" w:hAnsi="Times New Roman"/>
        </w:rPr>
        <w:t xml:space="preserve"> solutions</w:t>
      </w:r>
      <w:r w:rsidRPr="007F4E9F">
        <w:rPr>
          <w:rFonts w:ascii="Times New Roman" w:hAnsi="Times New Roman"/>
        </w:rPr>
        <w:t xml:space="preserve"> (2024), </w:t>
      </w:r>
      <w:r w:rsidRPr="007F4E9F">
        <w:rPr>
          <w:rStyle w:val="Emphasis"/>
          <w:rFonts w:ascii="Times New Roman" w:hAnsi="Times New Roman"/>
        </w:rPr>
        <w:t>Caracterización técnica, normativa, política y de mercado en tres sectores priorizados</w:t>
      </w:r>
      <w:r w:rsidRPr="007F4E9F">
        <w:rPr>
          <w:rFonts w:ascii="Times New Roman" w:hAnsi="Times New Roman"/>
        </w:rPr>
        <w:t xml:space="preserve"> para las ciudades de Bogotá D.C., Quito, Lima y Santiago de Chile.</w:t>
      </w:r>
    </w:p>
    <w:p w14:paraId="2E14B3A4" w14:textId="2991F0D0" w:rsidR="004161BE" w:rsidRPr="007F4E9F" w:rsidRDefault="004161BE" w:rsidP="004161BE">
      <w:pPr>
        <w:spacing w:line="240" w:lineRule="auto"/>
        <w:jc w:val="both"/>
        <w:rPr>
          <w:rFonts w:ascii="Times New Roman" w:hAnsi="Times New Roman" w:cs="Times New Roman"/>
        </w:rPr>
      </w:pPr>
      <w:r w:rsidRPr="007F4E9F">
        <w:rPr>
          <w:rFonts w:ascii="Times New Roman" w:hAnsi="Times New Roman" w:cs="Times New Roman"/>
        </w:rPr>
        <w:t xml:space="preserve">Tal y como se mencionaba anteriormente, la caracterización sectorial evidencia convergencias entre las ciudades en sectores intensivos en recursos y generación de residuos, como </w:t>
      </w:r>
      <w:r w:rsidRPr="007F4E9F">
        <w:rPr>
          <w:rStyle w:val="Strong"/>
          <w:rFonts w:ascii="Times New Roman" w:hAnsi="Times New Roman" w:cs="Times New Roman"/>
        </w:rPr>
        <w:t>textil, construcción, plásticos y alimentos</w:t>
      </w:r>
      <w:r w:rsidRPr="007F4E9F">
        <w:rPr>
          <w:rFonts w:ascii="Times New Roman" w:hAnsi="Times New Roman" w:cs="Times New Roman"/>
        </w:rPr>
        <w:t>, lo que refleja su relevancia frente a los desafíos de sostenibilidad urbana</w:t>
      </w:r>
      <w:r w:rsidR="00E14E42" w:rsidRPr="007F4E9F">
        <w:rPr>
          <w:rFonts w:ascii="Times New Roman" w:hAnsi="Times New Roman" w:cs="Times New Roman"/>
        </w:rPr>
        <w:t xml:space="preserve"> </w:t>
      </w:r>
      <w:r w:rsidR="00E14E42" w:rsidRPr="007F4E9F">
        <w:rPr>
          <w:rFonts w:ascii="Times New Roman" w:eastAsia="Times New Roman" w:hAnsi="Times New Roman" w:cs="Times New Roman"/>
        </w:rPr>
        <w:t>(ADA shared, services solutions, 2024a, 2024b, 2024c, 2024d).</w:t>
      </w:r>
      <w:r w:rsidRPr="007F4E9F">
        <w:rPr>
          <w:rFonts w:ascii="Times New Roman" w:hAnsi="Times New Roman" w:cs="Times New Roman"/>
        </w:rPr>
        <w:t xml:space="preserve">. Asimismo, las oportunidades de economía circular, la disponibilidad de materiales reutilizables y la existencia de marcos normativos asociados a la gestión de residuos, la responsabilidad extendida del productor REP y la producción sostenible indican que estos sectores se encuentran alineados con </w:t>
      </w:r>
      <w:r w:rsidRPr="007F4E9F">
        <w:rPr>
          <w:rStyle w:val="Strong"/>
          <w:rFonts w:ascii="Times New Roman" w:hAnsi="Times New Roman" w:cs="Times New Roman"/>
        </w:rPr>
        <w:t>prioridades locales y regionales orientadas a la transición hacia modelos económicos más circulares</w:t>
      </w:r>
      <w:r w:rsidRPr="007F4E9F">
        <w:rPr>
          <w:rFonts w:ascii="Times New Roman" w:hAnsi="Times New Roman" w:cs="Times New Roman"/>
        </w:rPr>
        <w:t>. En este sentido, la priorización sectorial con su evaluación técnica puede considerarse pertinente al enfocarse en actividades con potencial para dinamizar mercados de materiales reutilizables a través del Marketplace del proyecto.</w:t>
      </w:r>
    </w:p>
    <w:p w14:paraId="6B3C6188" w14:textId="77777777" w:rsidR="004161BE" w:rsidRPr="007F4E9F" w:rsidRDefault="004161BE" w:rsidP="004161BE">
      <w:pPr>
        <w:pStyle w:val="Heading5"/>
        <w:spacing w:line="240" w:lineRule="auto"/>
        <w:rPr>
          <w:rFonts w:ascii="Times New Roman" w:hAnsi="Times New Roman"/>
        </w:rPr>
      </w:pPr>
      <w:bookmarkStart w:id="55" w:name="_Toc225500055"/>
      <w:bookmarkStart w:id="56" w:name="_Toc226750195"/>
      <w:r w:rsidRPr="007F4E9F">
        <w:rPr>
          <w:rFonts w:ascii="Times New Roman" w:hAnsi="Times New Roman"/>
        </w:rPr>
        <w:t>Sistema de indicadores</w:t>
      </w:r>
      <w:bookmarkEnd w:id="55"/>
      <w:bookmarkEnd w:id="56"/>
    </w:p>
    <w:p w14:paraId="06769F23" w14:textId="55952DAD" w:rsidR="004161BE" w:rsidRPr="007F4E9F" w:rsidRDefault="004161BE" w:rsidP="004161BE">
      <w:pPr>
        <w:spacing w:line="240" w:lineRule="auto"/>
        <w:jc w:val="both"/>
        <w:rPr>
          <w:rFonts w:ascii="Times New Roman" w:hAnsi="Times New Roman" w:cs="Times New Roman"/>
        </w:rPr>
      </w:pPr>
      <w:r w:rsidRPr="007F4E9F">
        <w:rPr>
          <w:rFonts w:ascii="Times New Roman" w:hAnsi="Times New Roman" w:cs="Times New Roman"/>
        </w:rPr>
        <w:t>Con relación a los indicadores, es posible verificar que se siguió un proceso riguroso de investigación para conocer diferentes baterías de indicadores en economía circular. Muestra de ello es el desarrollo de un documento que presenta una metodología estructurada para la priorización y selección de indicadores, basada en la aplicación de criterios de relevancia, disponibilidad y accesibilidad, con un esquema de ponderación y puntuación que permite depurar un conjunto amplio de indicadores de economía circular hacia una batería más reducida y manejable de seis indicadores</w:t>
      </w:r>
      <w:r w:rsidR="00E14E42" w:rsidRPr="007F4E9F">
        <w:rPr>
          <w:rFonts w:ascii="Times New Roman" w:hAnsi="Times New Roman" w:cs="Times New Roman"/>
        </w:rPr>
        <w:t xml:space="preserve"> </w:t>
      </w:r>
      <w:r w:rsidR="00E14E42" w:rsidRPr="007F4E9F">
        <w:rPr>
          <w:rFonts w:ascii="Times New Roman" w:eastAsia="Times New Roman" w:hAnsi="Times New Roman" w:cs="Times New Roman"/>
        </w:rPr>
        <w:t>(ADA shared, services solutions, 2024e, 2024m)</w:t>
      </w:r>
      <w:r w:rsidRPr="007F4E9F">
        <w:rPr>
          <w:rFonts w:ascii="Times New Roman" w:hAnsi="Times New Roman" w:cs="Times New Roman"/>
        </w:rPr>
        <w:t>. Los indicadores se clasifican en indicadores de impacto, gestión y desempeño. La tabla 6 hace un recuento de la investigación realizada</w:t>
      </w:r>
      <w:r w:rsidR="00B92FFC" w:rsidRPr="007F4E9F">
        <w:rPr>
          <w:rFonts w:ascii="Times New Roman" w:hAnsi="Times New Roman" w:cs="Times New Roman"/>
        </w:rPr>
        <w:t>.</w:t>
      </w:r>
    </w:p>
    <w:p w14:paraId="0FC3B797" w14:textId="56FB108C" w:rsidR="004161BE" w:rsidRPr="007F4E9F" w:rsidRDefault="004161BE" w:rsidP="004161BE">
      <w:pPr>
        <w:pStyle w:val="Caption"/>
        <w:keepNext/>
        <w:jc w:val="both"/>
        <w:rPr>
          <w:rFonts w:ascii="Times New Roman" w:hAnsi="Times New Roman" w:cs="Times New Roman"/>
          <w:sz w:val="22"/>
          <w:szCs w:val="22"/>
        </w:rPr>
      </w:pPr>
      <w:bookmarkStart w:id="57" w:name="_Toc225500099"/>
      <w:bookmarkStart w:id="58" w:name="_Toc225848232"/>
      <w:r w:rsidRPr="007F4E9F">
        <w:rPr>
          <w:rFonts w:ascii="Times New Roman" w:hAnsi="Times New Roman" w:cs="Times New Roman"/>
          <w:sz w:val="22"/>
          <w:szCs w:val="22"/>
        </w:rPr>
        <w:t xml:space="preserve">Tabla </w:t>
      </w:r>
      <w:r w:rsidRPr="007F4E9F">
        <w:rPr>
          <w:rFonts w:ascii="Times New Roman" w:hAnsi="Times New Roman" w:cs="Times New Roman"/>
          <w:sz w:val="22"/>
          <w:szCs w:val="22"/>
        </w:rPr>
        <w:fldChar w:fldCharType="begin"/>
      </w:r>
      <w:r w:rsidRPr="007F4E9F">
        <w:rPr>
          <w:rFonts w:ascii="Times New Roman" w:hAnsi="Times New Roman" w:cs="Times New Roman"/>
          <w:sz w:val="22"/>
          <w:szCs w:val="22"/>
        </w:rPr>
        <w:instrText xml:space="preserve"> SEQ Tabla \* ARABIC </w:instrText>
      </w:r>
      <w:r w:rsidRPr="007F4E9F">
        <w:rPr>
          <w:rFonts w:ascii="Times New Roman" w:hAnsi="Times New Roman" w:cs="Times New Roman"/>
          <w:sz w:val="22"/>
          <w:szCs w:val="22"/>
        </w:rPr>
        <w:fldChar w:fldCharType="separate"/>
      </w:r>
      <w:r w:rsidR="00CB1A80" w:rsidRPr="007F4E9F">
        <w:rPr>
          <w:rFonts w:ascii="Times New Roman" w:hAnsi="Times New Roman" w:cs="Times New Roman"/>
          <w:noProof/>
          <w:sz w:val="22"/>
          <w:szCs w:val="22"/>
        </w:rPr>
        <w:t>6</w:t>
      </w:r>
      <w:r w:rsidRPr="007F4E9F">
        <w:rPr>
          <w:rFonts w:ascii="Times New Roman" w:hAnsi="Times New Roman" w:cs="Times New Roman"/>
          <w:sz w:val="22"/>
          <w:szCs w:val="22"/>
        </w:rPr>
        <w:fldChar w:fldCharType="end"/>
      </w:r>
      <w:r w:rsidRPr="007F4E9F">
        <w:rPr>
          <w:rFonts w:ascii="Times New Roman" w:hAnsi="Times New Roman" w:cs="Times New Roman"/>
          <w:sz w:val="22"/>
          <w:szCs w:val="22"/>
        </w:rPr>
        <w:t xml:space="preserve"> </w:t>
      </w:r>
      <w:r w:rsidRPr="007F4E9F">
        <w:rPr>
          <w:rFonts w:ascii="Times New Roman" w:hAnsi="Times New Roman" w:cs="Times New Roman"/>
          <w:i/>
          <w:iCs/>
          <w:sz w:val="22"/>
          <w:szCs w:val="22"/>
        </w:rPr>
        <w:t>Resumen de batería de indicadores investigadas</w:t>
      </w:r>
      <w:bookmarkEnd w:id="57"/>
      <w:bookmarkEnd w:id="5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822"/>
        <w:gridCol w:w="2464"/>
        <w:gridCol w:w="2893"/>
        <w:gridCol w:w="1451"/>
      </w:tblGrid>
      <w:tr w:rsidR="004161BE" w:rsidRPr="007F4E9F" w14:paraId="53B10C60" w14:textId="77777777" w:rsidTr="000949EC">
        <w:tc>
          <w:tcPr>
            <w:tcW w:w="1056" w:type="pct"/>
            <w:vAlign w:val="center"/>
          </w:tcPr>
          <w:p w14:paraId="6266E655" w14:textId="77777777" w:rsidR="004161BE" w:rsidRPr="007F4E9F" w:rsidRDefault="004161BE" w:rsidP="000949EC">
            <w:pPr>
              <w:spacing w:line="240" w:lineRule="auto"/>
              <w:jc w:val="both"/>
              <w:rPr>
                <w:rFonts w:ascii="Times New Roman" w:eastAsia="Times New Roman" w:hAnsi="Times New Roman" w:cs="Times New Roman"/>
                <w:b/>
                <w:bCs/>
              </w:rPr>
            </w:pPr>
            <w:r w:rsidRPr="007F4E9F">
              <w:rPr>
                <w:rFonts w:ascii="Times New Roman" w:eastAsia="Times New Roman" w:hAnsi="Times New Roman" w:cs="Times New Roman"/>
                <w:b/>
                <w:bCs/>
              </w:rPr>
              <w:t>Dimensión</w:t>
            </w:r>
          </w:p>
        </w:tc>
        <w:tc>
          <w:tcPr>
            <w:tcW w:w="1428" w:type="pct"/>
            <w:vAlign w:val="center"/>
          </w:tcPr>
          <w:p w14:paraId="209F39DA" w14:textId="77777777" w:rsidR="004161BE" w:rsidRPr="007F4E9F" w:rsidRDefault="004161BE" w:rsidP="000949EC">
            <w:pPr>
              <w:spacing w:line="240" w:lineRule="auto"/>
              <w:jc w:val="both"/>
              <w:rPr>
                <w:rFonts w:ascii="Times New Roman" w:eastAsia="Times New Roman" w:hAnsi="Times New Roman" w:cs="Times New Roman"/>
                <w:b/>
                <w:bCs/>
              </w:rPr>
            </w:pPr>
            <w:r w:rsidRPr="007F4E9F">
              <w:rPr>
                <w:rFonts w:ascii="Times New Roman" w:eastAsia="Times New Roman" w:hAnsi="Times New Roman" w:cs="Times New Roman"/>
                <w:b/>
                <w:bCs/>
              </w:rPr>
              <w:t>Tipo de indicador</w:t>
            </w:r>
          </w:p>
        </w:tc>
        <w:tc>
          <w:tcPr>
            <w:tcW w:w="1676" w:type="pct"/>
            <w:vAlign w:val="center"/>
          </w:tcPr>
          <w:p w14:paraId="177B140C" w14:textId="77777777" w:rsidR="004161BE" w:rsidRPr="007F4E9F" w:rsidRDefault="004161BE" w:rsidP="000949EC">
            <w:pPr>
              <w:spacing w:line="240" w:lineRule="auto"/>
              <w:jc w:val="both"/>
              <w:rPr>
                <w:rFonts w:ascii="Times New Roman" w:eastAsia="Times New Roman" w:hAnsi="Times New Roman" w:cs="Times New Roman"/>
                <w:b/>
                <w:bCs/>
              </w:rPr>
            </w:pPr>
            <w:r w:rsidRPr="007F4E9F">
              <w:rPr>
                <w:rFonts w:ascii="Times New Roman" w:eastAsia="Times New Roman" w:hAnsi="Times New Roman" w:cs="Times New Roman"/>
                <w:b/>
                <w:bCs/>
              </w:rPr>
              <w:t>Ejemplos de indicadores mencionados</w:t>
            </w:r>
          </w:p>
        </w:tc>
        <w:tc>
          <w:tcPr>
            <w:tcW w:w="841" w:type="pct"/>
            <w:vAlign w:val="center"/>
          </w:tcPr>
          <w:p w14:paraId="67BCDE82" w14:textId="77777777" w:rsidR="004161BE" w:rsidRPr="007F4E9F" w:rsidRDefault="004161BE" w:rsidP="000949EC">
            <w:pPr>
              <w:spacing w:line="240" w:lineRule="auto"/>
              <w:jc w:val="both"/>
              <w:rPr>
                <w:rFonts w:ascii="Times New Roman" w:eastAsia="Times New Roman" w:hAnsi="Times New Roman" w:cs="Times New Roman"/>
                <w:b/>
                <w:bCs/>
              </w:rPr>
            </w:pPr>
            <w:r w:rsidRPr="007F4E9F">
              <w:rPr>
                <w:rFonts w:ascii="Times New Roman" w:eastAsia="Times New Roman" w:hAnsi="Times New Roman" w:cs="Times New Roman"/>
                <w:b/>
                <w:bCs/>
              </w:rPr>
              <w:t>Enfoque principal</w:t>
            </w:r>
          </w:p>
        </w:tc>
      </w:tr>
      <w:tr w:rsidR="004161BE" w:rsidRPr="007F4E9F" w14:paraId="1B693F48" w14:textId="77777777" w:rsidTr="000949EC">
        <w:tc>
          <w:tcPr>
            <w:tcW w:w="1056" w:type="pct"/>
            <w:vAlign w:val="center"/>
          </w:tcPr>
          <w:p w14:paraId="4A348EF9"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Economía circular – ambiental</w:t>
            </w:r>
          </w:p>
        </w:tc>
        <w:tc>
          <w:tcPr>
            <w:tcW w:w="1428" w:type="pct"/>
            <w:vAlign w:val="center"/>
          </w:tcPr>
          <w:p w14:paraId="5D5DC6F7"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Uso y valorización de materiales</w:t>
            </w:r>
          </w:p>
        </w:tc>
        <w:tc>
          <w:tcPr>
            <w:tcW w:w="1676" w:type="pct"/>
            <w:vAlign w:val="center"/>
          </w:tcPr>
          <w:p w14:paraId="71A6C9C5"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Uso de materiales reciclados, reducción de residuos, eficiencia en el uso de recursos</w:t>
            </w:r>
          </w:p>
        </w:tc>
        <w:tc>
          <w:tcPr>
            <w:tcW w:w="841" w:type="pct"/>
            <w:vAlign w:val="center"/>
          </w:tcPr>
          <w:p w14:paraId="269774D1"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Impacto circular</w:t>
            </w:r>
          </w:p>
        </w:tc>
      </w:tr>
      <w:tr w:rsidR="004161BE" w:rsidRPr="007F4E9F" w14:paraId="57C53E0A" w14:textId="77777777" w:rsidTr="000949EC">
        <w:tc>
          <w:tcPr>
            <w:tcW w:w="1056" w:type="pct"/>
            <w:vAlign w:val="center"/>
          </w:tcPr>
          <w:p w14:paraId="2FAD8054"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Economía circular – desempeño</w:t>
            </w:r>
          </w:p>
        </w:tc>
        <w:tc>
          <w:tcPr>
            <w:tcW w:w="1428" w:type="pct"/>
            <w:vAlign w:val="center"/>
          </w:tcPr>
          <w:p w14:paraId="2E20E1D2"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Eficiencia de procesos</w:t>
            </w:r>
          </w:p>
        </w:tc>
        <w:tc>
          <w:tcPr>
            <w:tcW w:w="1676" w:type="pct"/>
            <w:vAlign w:val="center"/>
          </w:tcPr>
          <w:p w14:paraId="3E83FDD2"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Eficiencia productiva, optimización de recursos, reducción de impactos</w:t>
            </w:r>
          </w:p>
        </w:tc>
        <w:tc>
          <w:tcPr>
            <w:tcW w:w="841" w:type="pct"/>
            <w:vAlign w:val="center"/>
          </w:tcPr>
          <w:p w14:paraId="68AD3488"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Impacto / gestión</w:t>
            </w:r>
          </w:p>
        </w:tc>
      </w:tr>
      <w:tr w:rsidR="004161BE" w:rsidRPr="007F4E9F" w14:paraId="59CB90E0" w14:textId="77777777" w:rsidTr="000949EC">
        <w:tc>
          <w:tcPr>
            <w:tcW w:w="1056" w:type="pct"/>
            <w:vAlign w:val="center"/>
          </w:tcPr>
          <w:p w14:paraId="44E9F068"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Económico–negocio</w:t>
            </w:r>
          </w:p>
        </w:tc>
        <w:tc>
          <w:tcPr>
            <w:tcW w:w="1428" w:type="pct"/>
            <w:vAlign w:val="center"/>
          </w:tcPr>
          <w:p w14:paraId="5DB89966"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Ventajas competitivas</w:t>
            </w:r>
          </w:p>
        </w:tc>
        <w:tc>
          <w:tcPr>
            <w:tcW w:w="1676" w:type="pct"/>
            <w:vAlign w:val="center"/>
          </w:tcPr>
          <w:p w14:paraId="0DE1D32C"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Ahorro de costos, mejora reputacional, generación de valor</w:t>
            </w:r>
          </w:p>
        </w:tc>
        <w:tc>
          <w:tcPr>
            <w:tcW w:w="841" w:type="pct"/>
            <w:vAlign w:val="center"/>
          </w:tcPr>
          <w:p w14:paraId="2B6EEECA"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Impacto económico</w:t>
            </w:r>
          </w:p>
        </w:tc>
      </w:tr>
      <w:tr w:rsidR="004161BE" w:rsidRPr="007F4E9F" w14:paraId="6D443817" w14:textId="77777777" w:rsidTr="000949EC">
        <w:tc>
          <w:tcPr>
            <w:tcW w:w="1056" w:type="pct"/>
            <w:vAlign w:val="center"/>
          </w:tcPr>
          <w:p w14:paraId="7181C4E1"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Gestión y gobernanza</w:t>
            </w:r>
          </w:p>
        </w:tc>
        <w:tc>
          <w:tcPr>
            <w:tcW w:w="1428" w:type="pct"/>
            <w:vAlign w:val="center"/>
          </w:tcPr>
          <w:p w14:paraId="1A6ACDF9"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Apoyo a la toma de decisiones</w:t>
            </w:r>
          </w:p>
        </w:tc>
        <w:tc>
          <w:tcPr>
            <w:tcW w:w="1676" w:type="pct"/>
            <w:vAlign w:val="center"/>
          </w:tcPr>
          <w:p w14:paraId="0E6C8208"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Seguimiento estratégico, gestión de información</w:t>
            </w:r>
          </w:p>
        </w:tc>
        <w:tc>
          <w:tcPr>
            <w:tcW w:w="841" w:type="pct"/>
            <w:vAlign w:val="center"/>
          </w:tcPr>
          <w:p w14:paraId="73C525B3"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Gestión</w:t>
            </w:r>
          </w:p>
        </w:tc>
      </w:tr>
      <w:tr w:rsidR="004161BE" w:rsidRPr="007F4E9F" w14:paraId="2A41AE3F" w14:textId="77777777" w:rsidTr="000949EC">
        <w:tc>
          <w:tcPr>
            <w:tcW w:w="1056" w:type="pct"/>
            <w:vAlign w:val="center"/>
          </w:tcPr>
          <w:p w14:paraId="6D28B221"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Plataforma– usuarios</w:t>
            </w:r>
          </w:p>
        </w:tc>
        <w:tc>
          <w:tcPr>
            <w:tcW w:w="1428" w:type="pct"/>
            <w:vAlign w:val="center"/>
          </w:tcPr>
          <w:p w14:paraId="4D468BDB"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Uso de la plataforma</w:t>
            </w:r>
          </w:p>
        </w:tc>
        <w:tc>
          <w:tcPr>
            <w:tcW w:w="1676" w:type="pct"/>
            <w:vAlign w:val="center"/>
          </w:tcPr>
          <w:p w14:paraId="267031BE"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Usuarios registrados, perfiles creados</w:t>
            </w:r>
          </w:p>
        </w:tc>
        <w:tc>
          <w:tcPr>
            <w:tcW w:w="841" w:type="pct"/>
            <w:vAlign w:val="center"/>
          </w:tcPr>
          <w:p w14:paraId="3931100E"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Operativo (incipiente)</w:t>
            </w:r>
          </w:p>
        </w:tc>
      </w:tr>
      <w:tr w:rsidR="004161BE" w:rsidRPr="007F4E9F" w14:paraId="6339543C" w14:textId="77777777" w:rsidTr="000949EC">
        <w:tc>
          <w:tcPr>
            <w:tcW w:w="1056" w:type="pct"/>
            <w:vAlign w:val="center"/>
          </w:tcPr>
          <w:p w14:paraId="34C67377"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Plataforma – empresas</w:t>
            </w:r>
          </w:p>
        </w:tc>
        <w:tc>
          <w:tcPr>
            <w:tcW w:w="1428" w:type="pct"/>
            <w:vAlign w:val="center"/>
          </w:tcPr>
          <w:p w14:paraId="3C486822"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Participación empresarial</w:t>
            </w:r>
          </w:p>
        </w:tc>
        <w:tc>
          <w:tcPr>
            <w:tcW w:w="1676" w:type="pct"/>
            <w:vAlign w:val="center"/>
          </w:tcPr>
          <w:p w14:paraId="40CFBA44"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Empresas registradas, iniciativas publicadas</w:t>
            </w:r>
          </w:p>
        </w:tc>
        <w:tc>
          <w:tcPr>
            <w:tcW w:w="841" w:type="pct"/>
            <w:vAlign w:val="center"/>
          </w:tcPr>
          <w:p w14:paraId="7C299B57"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Operativo (incipiente)</w:t>
            </w:r>
          </w:p>
        </w:tc>
      </w:tr>
      <w:tr w:rsidR="004161BE" w:rsidRPr="007F4E9F" w14:paraId="0F40EE17" w14:textId="77777777" w:rsidTr="000949EC">
        <w:tc>
          <w:tcPr>
            <w:tcW w:w="1056" w:type="pct"/>
            <w:vAlign w:val="center"/>
          </w:tcPr>
          <w:p w14:paraId="296176E9"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Plataforma – contenidos</w:t>
            </w:r>
          </w:p>
        </w:tc>
        <w:tc>
          <w:tcPr>
            <w:tcW w:w="1428" w:type="pct"/>
            <w:vAlign w:val="center"/>
          </w:tcPr>
          <w:p w14:paraId="1B1B9ED1"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Oferta de productos y servicios</w:t>
            </w:r>
          </w:p>
        </w:tc>
        <w:tc>
          <w:tcPr>
            <w:tcW w:w="1676" w:type="pct"/>
            <w:vAlign w:val="center"/>
          </w:tcPr>
          <w:p w14:paraId="0DA8670F"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Productos, servicios o iniciativas visibles</w:t>
            </w:r>
          </w:p>
        </w:tc>
        <w:tc>
          <w:tcPr>
            <w:tcW w:w="841" w:type="pct"/>
            <w:vAlign w:val="center"/>
          </w:tcPr>
          <w:p w14:paraId="10866798"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Operativo / visibilidad</w:t>
            </w:r>
          </w:p>
        </w:tc>
      </w:tr>
      <w:tr w:rsidR="004161BE" w:rsidRPr="007F4E9F" w14:paraId="22D89864" w14:textId="77777777" w:rsidTr="000949EC">
        <w:tc>
          <w:tcPr>
            <w:tcW w:w="1056" w:type="pct"/>
            <w:vAlign w:val="center"/>
          </w:tcPr>
          <w:p w14:paraId="48FAA0DA"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Plataforma – interacción</w:t>
            </w:r>
          </w:p>
        </w:tc>
        <w:tc>
          <w:tcPr>
            <w:tcW w:w="1428" w:type="pct"/>
            <w:vAlign w:val="center"/>
          </w:tcPr>
          <w:p w14:paraId="51F9A363"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Conexiones y redes</w:t>
            </w:r>
          </w:p>
        </w:tc>
        <w:tc>
          <w:tcPr>
            <w:tcW w:w="1676" w:type="pct"/>
            <w:vAlign w:val="center"/>
          </w:tcPr>
          <w:p w14:paraId="70FDDEC9"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Búsqueda de socios, transferencia de conocimiento</w:t>
            </w:r>
          </w:p>
        </w:tc>
        <w:tc>
          <w:tcPr>
            <w:tcW w:w="841" w:type="pct"/>
            <w:vAlign w:val="center"/>
          </w:tcPr>
          <w:p w14:paraId="5658AC58"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Relacional / cualitativo</w:t>
            </w:r>
          </w:p>
        </w:tc>
      </w:tr>
      <w:tr w:rsidR="004161BE" w:rsidRPr="007F4E9F" w14:paraId="46D6AA70" w14:textId="77777777" w:rsidTr="000949EC">
        <w:tc>
          <w:tcPr>
            <w:tcW w:w="1056" w:type="pct"/>
            <w:vAlign w:val="center"/>
          </w:tcPr>
          <w:p w14:paraId="6A5B07CC"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Clasificación transversal</w:t>
            </w:r>
          </w:p>
        </w:tc>
        <w:tc>
          <w:tcPr>
            <w:tcW w:w="1428" w:type="pct"/>
            <w:vAlign w:val="center"/>
          </w:tcPr>
          <w:p w14:paraId="41470449"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Criterios de selección</w:t>
            </w:r>
          </w:p>
        </w:tc>
        <w:tc>
          <w:tcPr>
            <w:tcW w:w="1676" w:type="pct"/>
            <w:vAlign w:val="center"/>
          </w:tcPr>
          <w:p w14:paraId="5C7C42EE"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Relevancia, comparabilidad, sensibilidad al cambio, disponibilidad de datos</w:t>
            </w:r>
          </w:p>
        </w:tc>
        <w:tc>
          <w:tcPr>
            <w:tcW w:w="841" w:type="pct"/>
            <w:vAlign w:val="center"/>
          </w:tcPr>
          <w:p w14:paraId="26207935"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Metodológico</w:t>
            </w:r>
          </w:p>
        </w:tc>
      </w:tr>
      <w:tr w:rsidR="004161BE" w:rsidRPr="007F4E9F" w14:paraId="141BE344" w14:textId="77777777" w:rsidTr="000949EC">
        <w:tc>
          <w:tcPr>
            <w:tcW w:w="1056" w:type="pct"/>
            <w:vAlign w:val="center"/>
          </w:tcPr>
          <w:p w14:paraId="34556FC4"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Implementación</w:t>
            </w:r>
          </w:p>
        </w:tc>
        <w:tc>
          <w:tcPr>
            <w:tcW w:w="1428" w:type="pct"/>
            <w:vAlign w:val="center"/>
          </w:tcPr>
          <w:p w14:paraId="4CAD8D51"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Simplicidad y costo</w:t>
            </w:r>
          </w:p>
        </w:tc>
        <w:tc>
          <w:tcPr>
            <w:tcW w:w="1676" w:type="pct"/>
            <w:vAlign w:val="center"/>
          </w:tcPr>
          <w:p w14:paraId="39133178"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Facilidad de comprensión, costo de implementación</w:t>
            </w:r>
          </w:p>
        </w:tc>
        <w:tc>
          <w:tcPr>
            <w:tcW w:w="841" w:type="pct"/>
            <w:vAlign w:val="center"/>
          </w:tcPr>
          <w:p w14:paraId="305DA8A7"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Metodológico</w:t>
            </w:r>
          </w:p>
        </w:tc>
      </w:tr>
    </w:tbl>
    <w:p w14:paraId="0CEA5DF4" w14:textId="570637E3" w:rsidR="004161BE" w:rsidRPr="007F4E9F" w:rsidRDefault="004161BE" w:rsidP="004161BE">
      <w:pPr>
        <w:pStyle w:val="Bibliography"/>
        <w:ind w:left="720" w:hanging="720"/>
        <w:rPr>
          <w:rFonts w:ascii="Times New Roman" w:hAnsi="Times New Roman"/>
          <w:noProof/>
          <w:lang w:val="es-ES"/>
        </w:rPr>
      </w:pPr>
      <w:r w:rsidRPr="007F4E9F">
        <w:rPr>
          <w:rFonts w:ascii="Times New Roman" w:hAnsi="Times New Roman"/>
        </w:rPr>
        <w:t xml:space="preserve">Fuente: Elaboración propia con base </w:t>
      </w:r>
      <w:r w:rsidRPr="007F4E9F">
        <w:rPr>
          <w:rFonts w:ascii="Times New Roman" w:hAnsi="Times New Roman"/>
          <w:noProof/>
          <w:lang w:val="es-ES"/>
        </w:rPr>
        <w:t>ADA shared</w:t>
      </w:r>
      <w:r w:rsidR="00990AA6" w:rsidRPr="007F4E9F">
        <w:rPr>
          <w:rFonts w:ascii="Times New Roman" w:hAnsi="Times New Roman"/>
          <w:noProof/>
          <w:lang w:val="es-ES"/>
        </w:rPr>
        <w:t xml:space="preserve"> services</w:t>
      </w:r>
      <w:r w:rsidRPr="007F4E9F">
        <w:rPr>
          <w:rFonts w:ascii="Times New Roman" w:hAnsi="Times New Roman"/>
          <w:noProof/>
          <w:lang w:val="es-ES"/>
        </w:rPr>
        <w:t xml:space="preserve"> solutions. (2024</w:t>
      </w:r>
      <w:r w:rsidR="00B92FFC" w:rsidRPr="007F4E9F">
        <w:rPr>
          <w:rFonts w:ascii="Times New Roman" w:hAnsi="Times New Roman"/>
          <w:noProof/>
          <w:lang w:val="es-ES"/>
        </w:rPr>
        <w:t>e</w:t>
      </w:r>
      <w:r w:rsidRPr="007F4E9F">
        <w:rPr>
          <w:rFonts w:ascii="Times New Roman" w:hAnsi="Times New Roman"/>
          <w:noProof/>
          <w:lang w:val="es-ES"/>
        </w:rPr>
        <w:t xml:space="preserve">). </w:t>
      </w:r>
      <w:r w:rsidRPr="007F4E9F">
        <w:rPr>
          <w:rFonts w:ascii="Times New Roman" w:hAnsi="Times New Roman"/>
          <w:i/>
          <w:iCs/>
          <w:noProof/>
          <w:lang w:val="es-ES"/>
        </w:rPr>
        <w:t>Construcción ficha técnica indicadores plataforma marketplace economía circular.</w:t>
      </w:r>
      <w:r w:rsidRPr="007F4E9F">
        <w:rPr>
          <w:rFonts w:ascii="Times New Roman" w:hAnsi="Times New Roman"/>
          <w:noProof/>
          <w:lang w:val="es-ES"/>
        </w:rPr>
        <w:t xml:space="preserve"> Bogotá D.C.</w:t>
      </w:r>
    </w:p>
    <w:p w14:paraId="1623209A" w14:textId="77777777" w:rsidR="004161BE" w:rsidRPr="007F4E9F" w:rsidRDefault="004161BE" w:rsidP="004161BE">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 xml:space="preserve">Después de aplicar los criterios de selección, se presenta una batería de seis indicadores que permite ratificar un avance en la operacionalización de los indicadores priorizados, mediante la construcción de fichas técnicas alineadas conceptualmente con el formato del Observatorio Ambiental de Bogotá </w:t>
      </w:r>
      <w:r w:rsidRPr="007F4E9F">
        <w:rPr>
          <w:rFonts w:ascii="Times New Roman" w:hAnsi="Times New Roman" w:cs="Times New Roman"/>
        </w:rPr>
        <w:t xml:space="preserve">donde se describe el indicador, la fórmula, su utilidad, la información requerida, resultados y un ejemplo de aplicación. </w:t>
      </w:r>
      <w:r w:rsidRPr="007F4E9F">
        <w:rPr>
          <w:rFonts w:ascii="Times New Roman" w:eastAsia="Times New Roman" w:hAnsi="Times New Roman" w:cs="Times New Roman"/>
        </w:rPr>
        <w:t xml:space="preserve">La tabla 7 resume los indicadores priorizados. </w:t>
      </w:r>
    </w:p>
    <w:p w14:paraId="5CA667F2" w14:textId="4517FDEF" w:rsidR="004161BE" w:rsidRPr="007F4E9F" w:rsidRDefault="004161BE" w:rsidP="004161BE">
      <w:pPr>
        <w:pStyle w:val="Caption"/>
        <w:keepNext/>
        <w:jc w:val="both"/>
        <w:rPr>
          <w:rFonts w:ascii="Times New Roman" w:hAnsi="Times New Roman" w:cs="Times New Roman"/>
          <w:sz w:val="22"/>
          <w:szCs w:val="22"/>
        </w:rPr>
      </w:pPr>
      <w:bookmarkStart w:id="59" w:name="_Toc225500100"/>
      <w:bookmarkStart w:id="60" w:name="_Toc225848233"/>
      <w:r w:rsidRPr="007F4E9F">
        <w:rPr>
          <w:rFonts w:ascii="Times New Roman" w:hAnsi="Times New Roman" w:cs="Times New Roman"/>
          <w:sz w:val="22"/>
          <w:szCs w:val="22"/>
        </w:rPr>
        <w:t xml:space="preserve">Tabla </w:t>
      </w:r>
      <w:r w:rsidRPr="007F4E9F">
        <w:rPr>
          <w:rFonts w:ascii="Times New Roman" w:hAnsi="Times New Roman" w:cs="Times New Roman"/>
          <w:sz w:val="22"/>
          <w:szCs w:val="22"/>
        </w:rPr>
        <w:fldChar w:fldCharType="begin"/>
      </w:r>
      <w:r w:rsidRPr="007F4E9F">
        <w:rPr>
          <w:rFonts w:ascii="Times New Roman" w:hAnsi="Times New Roman" w:cs="Times New Roman"/>
          <w:sz w:val="22"/>
          <w:szCs w:val="22"/>
        </w:rPr>
        <w:instrText xml:space="preserve"> SEQ Tabla \* ARABIC </w:instrText>
      </w:r>
      <w:r w:rsidRPr="007F4E9F">
        <w:rPr>
          <w:rFonts w:ascii="Times New Roman" w:hAnsi="Times New Roman" w:cs="Times New Roman"/>
          <w:sz w:val="22"/>
          <w:szCs w:val="22"/>
        </w:rPr>
        <w:fldChar w:fldCharType="separate"/>
      </w:r>
      <w:r w:rsidR="00CB1A80" w:rsidRPr="007F4E9F">
        <w:rPr>
          <w:rFonts w:ascii="Times New Roman" w:hAnsi="Times New Roman" w:cs="Times New Roman"/>
          <w:noProof/>
          <w:sz w:val="22"/>
          <w:szCs w:val="22"/>
        </w:rPr>
        <w:t>7</w:t>
      </w:r>
      <w:r w:rsidRPr="007F4E9F">
        <w:rPr>
          <w:rFonts w:ascii="Times New Roman" w:hAnsi="Times New Roman" w:cs="Times New Roman"/>
          <w:sz w:val="22"/>
          <w:szCs w:val="22"/>
        </w:rPr>
        <w:fldChar w:fldCharType="end"/>
      </w:r>
      <w:r w:rsidRPr="007F4E9F">
        <w:rPr>
          <w:rFonts w:ascii="Times New Roman" w:hAnsi="Times New Roman" w:cs="Times New Roman"/>
          <w:sz w:val="22"/>
          <w:szCs w:val="22"/>
        </w:rPr>
        <w:t xml:space="preserve"> </w:t>
      </w:r>
      <w:r w:rsidRPr="007F4E9F">
        <w:rPr>
          <w:rFonts w:ascii="Times New Roman" w:hAnsi="Times New Roman" w:cs="Times New Roman"/>
          <w:i/>
          <w:iCs/>
          <w:sz w:val="22"/>
          <w:szCs w:val="22"/>
        </w:rPr>
        <w:t>Batería de indicadores del Marketplace</w:t>
      </w:r>
      <w:bookmarkEnd w:id="59"/>
      <w:bookmarkEnd w:id="60"/>
    </w:p>
    <w:tbl>
      <w:tblPr>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8"/>
        <w:gridCol w:w="2157"/>
        <w:gridCol w:w="2157"/>
        <w:gridCol w:w="2158"/>
      </w:tblGrid>
      <w:tr w:rsidR="004161BE" w:rsidRPr="007F4E9F" w14:paraId="0990D856" w14:textId="77777777" w:rsidTr="000949EC">
        <w:tc>
          <w:tcPr>
            <w:tcW w:w="2158" w:type="dxa"/>
            <w:vAlign w:val="center"/>
          </w:tcPr>
          <w:p w14:paraId="76EE8AFF" w14:textId="77777777" w:rsidR="004161BE" w:rsidRPr="007F4E9F" w:rsidRDefault="004161BE" w:rsidP="000949EC">
            <w:pPr>
              <w:spacing w:line="240" w:lineRule="auto"/>
              <w:jc w:val="both"/>
              <w:rPr>
                <w:rFonts w:ascii="Times New Roman" w:eastAsia="Times New Roman" w:hAnsi="Times New Roman" w:cs="Times New Roman"/>
                <w:b/>
                <w:bCs/>
              </w:rPr>
            </w:pPr>
            <w:r w:rsidRPr="007F4E9F">
              <w:rPr>
                <w:rFonts w:ascii="Times New Roman" w:eastAsia="Times New Roman" w:hAnsi="Times New Roman" w:cs="Times New Roman"/>
                <w:b/>
                <w:bCs/>
              </w:rPr>
              <w:t>Área</w:t>
            </w:r>
          </w:p>
        </w:tc>
        <w:tc>
          <w:tcPr>
            <w:tcW w:w="2157" w:type="dxa"/>
            <w:vAlign w:val="center"/>
          </w:tcPr>
          <w:p w14:paraId="385761E8" w14:textId="77777777" w:rsidR="004161BE" w:rsidRPr="007F4E9F" w:rsidRDefault="004161BE" w:rsidP="000949EC">
            <w:pPr>
              <w:spacing w:line="240" w:lineRule="auto"/>
              <w:jc w:val="both"/>
              <w:rPr>
                <w:rFonts w:ascii="Times New Roman" w:eastAsia="Times New Roman" w:hAnsi="Times New Roman" w:cs="Times New Roman"/>
                <w:b/>
                <w:bCs/>
              </w:rPr>
            </w:pPr>
            <w:r w:rsidRPr="007F4E9F">
              <w:rPr>
                <w:rFonts w:ascii="Times New Roman" w:eastAsia="Times New Roman" w:hAnsi="Times New Roman" w:cs="Times New Roman"/>
                <w:b/>
                <w:bCs/>
              </w:rPr>
              <w:t>Nombre del indicador</w:t>
            </w:r>
          </w:p>
        </w:tc>
        <w:tc>
          <w:tcPr>
            <w:tcW w:w="2157" w:type="dxa"/>
            <w:vAlign w:val="center"/>
          </w:tcPr>
          <w:p w14:paraId="0B53D222" w14:textId="77777777" w:rsidR="004161BE" w:rsidRPr="007F4E9F" w:rsidRDefault="004161BE" w:rsidP="000949EC">
            <w:pPr>
              <w:spacing w:line="240" w:lineRule="auto"/>
              <w:jc w:val="both"/>
              <w:rPr>
                <w:rFonts w:ascii="Times New Roman" w:eastAsia="Times New Roman" w:hAnsi="Times New Roman" w:cs="Times New Roman"/>
                <w:b/>
                <w:bCs/>
              </w:rPr>
            </w:pPr>
            <w:r w:rsidRPr="007F4E9F">
              <w:rPr>
                <w:rFonts w:ascii="Times New Roman" w:eastAsia="Times New Roman" w:hAnsi="Times New Roman" w:cs="Times New Roman"/>
                <w:b/>
                <w:bCs/>
              </w:rPr>
              <w:t>Tipo de indicador</w:t>
            </w:r>
          </w:p>
        </w:tc>
        <w:tc>
          <w:tcPr>
            <w:tcW w:w="2158" w:type="dxa"/>
            <w:vAlign w:val="center"/>
          </w:tcPr>
          <w:p w14:paraId="29B11574" w14:textId="77777777" w:rsidR="004161BE" w:rsidRPr="007F4E9F" w:rsidRDefault="004161BE" w:rsidP="000949EC">
            <w:pPr>
              <w:spacing w:line="240" w:lineRule="auto"/>
              <w:jc w:val="both"/>
              <w:rPr>
                <w:rFonts w:ascii="Times New Roman" w:eastAsia="Times New Roman" w:hAnsi="Times New Roman" w:cs="Times New Roman"/>
                <w:b/>
                <w:bCs/>
              </w:rPr>
            </w:pPr>
            <w:r w:rsidRPr="007F4E9F">
              <w:rPr>
                <w:rFonts w:ascii="Times New Roman" w:eastAsia="Times New Roman" w:hAnsi="Times New Roman" w:cs="Times New Roman"/>
                <w:b/>
                <w:bCs/>
              </w:rPr>
              <w:t>¿Qué mide?</w:t>
            </w:r>
          </w:p>
        </w:tc>
      </w:tr>
      <w:tr w:rsidR="004161BE" w:rsidRPr="007F4E9F" w14:paraId="7F96A92C" w14:textId="77777777" w:rsidTr="000949EC">
        <w:tc>
          <w:tcPr>
            <w:tcW w:w="2158" w:type="dxa"/>
            <w:vAlign w:val="center"/>
          </w:tcPr>
          <w:p w14:paraId="14C822E0"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Economía circular</w:t>
            </w:r>
          </w:p>
        </w:tc>
        <w:tc>
          <w:tcPr>
            <w:tcW w:w="2157" w:type="dxa"/>
            <w:vAlign w:val="center"/>
          </w:tcPr>
          <w:p w14:paraId="5CEEB7BA"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ICEC9R – Índice de compromiso con la economía circular (9R)</w:t>
            </w:r>
          </w:p>
        </w:tc>
        <w:tc>
          <w:tcPr>
            <w:tcW w:w="2157" w:type="dxa"/>
            <w:vAlign w:val="center"/>
          </w:tcPr>
          <w:p w14:paraId="4D0B37EE"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Impacto / gestión</w:t>
            </w:r>
          </w:p>
        </w:tc>
        <w:tc>
          <w:tcPr>
            <w:tcW w:w="2158" w:type="dxa"/>
            <w:vAlign w:val="center"/>
          </w:tcPr>
          <w:p w14:paraId="426D8BBD"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Nivel de adopción de los principios de economía circular (9R) por parte de los actores vinculados a la plataforma</w:t>
            </w:r>
          </w:p>
        </w:tc>
      </w:tr>
      <w:tr w:rsidR="004161BE" w:rsidRPr="007F4E9F" w14:paraId="71B4F0AE" w14:textId="77777777" w:rsidTr="000949EC">
        <w:tc>
          <w:tcPr>
            <w:tcW w:w="2158" w:type="dxa"/>
            <w:vAlign w:val="center"/>
          </w:tcPr>
          <w:p w14:paraId="51E5032E"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Operación de mercado</w:t>
            </w:r>
          </w:p>
        </w:tc>
        <w:tc>
          <w:tcPr>
            <w:tcW w:w="2157" w:type="dxa"/>
            <w:vAlign w:val="center"/>
          </w:tcPr>
          <w:p w14:paraId="59B7E1D6"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ICEN – Índice de cierre efectivo de negocio</w:t>
            </w:r>
          </w:p>
        </w:tc>
        <w:tc>
          <w:tcPr>
            <w:tcW w:w="2157" w:type="dxa"/>
            <w:vAlign w:val="center"/>
          </w:tcPr>
          <w:p w14:paraId="7E5FBEAE"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Operativo / Marketplace</w:t>
            </w:r>
          </w:p>
        </w:tc>
        <w:tc>
          <w:tcPr>
            <w:tcW w:w="2158" w:type="dxa"/>
            <w:vAlign w:val="center"/>
          </w:tcPr>
          <w:p w14:paraId="3A2327A6"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Proporción de interacciones que culminan en acuerdos o transacciones efectivas dentro de la plataforma</w:t>
            </w:r>
          </w:p>
        </w:tc>
      </w:tr>
      <w:tr w:rsidR="004161BE" w:rsidRPr="007F4E9F" w14:paraId="2BC583ED" w14:textId="77777777" w:rsidTr="000949EC">
        <w:tc>
          <w:tcPr>
            <w:tcW w:w="2158" w:type="dxa"/>
            <w:vAlign w:val="center"/>
          </w:tcPr>
          <w:p w14:paraId="45823A32"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Impacto estratégico</w:t>
            </w:r>
          </w:p>
        </w:tc>
        <w:tc>
          <w:tcPr>
            <w:tcW w:w="2157" w:type="dxa"/>
            <w:vAlign w:val="center"/>
          </w:tcPr>
          <w:p w14:paraId="2FFF7B17"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ICODS – Índice de contribución a los ODS</w:t>
            </w:r>
          </w:p>
        </w:tc>
        <w:tc>
          <w:tcPr>
            <w:tcW w:w="2157" w:type="dxa"/>
            <w:vAlign w:val="center"/>
          </w:tcPr>
          <w:p w14:paraId="7721DC8C"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Estratégico / impacto</w:t>
            </w:r>
          </w:p>
        </w:tc>
        <w:tc>
          <w:tcPr>
            <w:tcW w:w="2158" w:type="dxa"/>
            <w:vAlign w:val="center"/>
          </w:tcPr>
          <w:p w14:paraId="6916D3BA"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Grado de alineación de las iniciativas con los Objetivos de Desarrollo Sostenible</w:t>
            </w:r>
          </w:p>
        </w:tc>
      </w:tr>
      <w:tr w:rsidR="004161BE" w:rsidRPr="007F4E9F" w14:paraId="139933DE" w14:textId="77777777" w:rsidTr="000949EC">
        <w:tc>
          <w:tcPr>
            <w:tcW w:w="2158" w:type="dxa"/>
            <w:vAlign w:val="center"/>
          </w:tcPr>
          <w:p w14:paraId="5362F084"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Economía circular</w:t>
            </w:r>
          </w:p>
        </w:tc>
        <w:tc>
          <w:tcPr>
            <w:tcW w:w="2157" w:type="dxa"/>
            <w:vAlign w:val="center"/>
          </w:tcPr>
          <w:p w14:paraId="15B1D47E"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ICR – Índice de circularidad de recursos</w:t>
            </w:r>
          </w:p>
        </w:tc>
        <w:tc>
          <w:tcPr>
            <w:tcW w:w="2157" w:type="dxa"/>
            <w:vAlign w:val="center"/>
          </w:tcPr>
          <w:p w14:paraId="6231A5C3"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Impacto ambiental</w:t>
            </w:r>
          </w:p>
        </w:tc>
        <w:tc>
          <w:tcPr>
            <w:tcW w:w="2158" w:type="dxa"/>
            <w:vAlign w:val="center"/>
          </w:tcPr>
          <w:p w14:paraId="25B10854"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Nivel de cierre de ciclos de materiales y aprovechamiento de recursos</w:t>
            </w:r>
          </w:p>
        </w:tc>
      </w:tr>
      <w:tr w:rsidR="004161BE" w:rsidRPr="007F4E9F" w14:paraId="6A132198" w14:textId="77777777" w:rsidTr="000949EC">
        <w:tc>
          <w:tcPr>
            <w:tcW w:w="2158" w:type="dxa"/>
            <w:vAlign w:val="center"/>
          </w:tcPr>
          <w:p w14:paraId="77678BB6"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Gestión de iniciativas</w:t>
            </w:r>
          </w:p>
        </w:tc>
        <w:tc>
          <w:tcPr>
            <w:tcW w:w="2157" w:type="dxa"/>
            <w:vAlign w:val="center"/>
          </w:tcPr>
          <w:p w14:paraId="5A67AA92"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IDI – Índice de desarrollo de iniciativas circulares</w:t>
            </w:r>
          </w:p>
        </w:tc>
        <w:tc>
          <w:tcPr>
            <w:tcW w:w="2157" w:type="dxa"/>
            <w:vAlign w:val="center"/>
          </w:tcPr>
          <w:p w14:paraId="56077AC7"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Gestión / impacto</w:t>
            </w:r>
          </w:p>
        </w:tc>
        <w:tc>
          <w:tcPr>
            <w:tcW w:w="2158" w:type="dxa"/>
            <w:vAlign w:val="center"/>
          </w:tcPr>
          <w:p w14:paraId="77FE1907"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Evolución y fortalecimiento de iniciativas de economía circular promovidas a través de la plataforma</w:t>
            </w:r>
          </w:p>
        </w:tc>
      </w:tr>
      <w:tr w:rsidR="004161BE" w:rsidRPr="007F4E9F" w14:paraId="0280C864" w14:textId="77777777" w:rsidTr="000949EC">
        <w:tc>
          <w:tcPr>
            <w:tcW w:w="2158" w:type="dxa"/>
            <w:vAlign w:val="center"/>
          </w:tcPr>
          <w:p w14:paraId="7AFCAE64"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Caracterización de usuarios</w:t>
            </w:r>
          </w:p>
        </w:tc>
        <w:tc>
          <w:tcPr>
            <w:tcW w:w="2157" w:type="dxa"/>
            <w:vAlign w:val="center"/>
          </w:tcPr>
          <w:p w14:paraId="4ABB1AED"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INU – Índice de naturaleza de usuarios</w:t>
            </w:r>
          </w:p>
        </w:tc>
        <w:tc>
          <w:tcPr>
            <w:tcW w:w="2157" w:type="dxa"/>
            <w:vAlign w:val="center"/>
          </w:tcPr>
          <w:p w14:paraId="0704E5D2"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Gestión / caracterización</w:t>
            </w:r>
          </w:p>
        </w:tc>
        <w:tc>
          <w:tcPr>
            <w:tcW w:w="2158" w:type="dxa"/>
            <w:vAlign w:val="center"/>
          </w:tcPr>
          <w:p w14:paraId="61F15618" w14:textId="77777777" w:rsidR="004161BE" w:rsidRPr="007F4E9F" w:rsidRDefault="004161BE" w:rsidP="000949EC">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Tipo y perfil de los usuarios que participan en la plataforma</w:t>
            </w:r>
          </w:p>
        </w:tc>
      </w:tr>
    </w:tbl>
    <w:p w14:paraId="2194467F" w14:textId="6CCB8B98" w:rsidR="004161BE" w:rsidRPr="007F4E9F" w:rsidRDefault="004161BE" w:rsidP="004161BE">
      <w:pPr>
        <w:pStyle w:val="Bibliography"/>
        <w:ind w:left="720" w:hanging="720"/>
        <w:rPr>
          <w:rFonts w:ascii="Times New Roman" w:hAnsi="Times New Roman"/>
          <w:noProof/>
          <w:lang w:val="es-ES"/>
        </w:rPr>
      </w:pPr>
      <w:r w:rsidRPr="007F4E9F">
        <w:rPr>
          <w:rFonts w:ascii="Times New Roman" w:hAnsi="Times New Roman"/>
        </w:rPr>
        <w:t xml:space="preserve">Fuente: Elaboración propia con base </w:t>
      </w:r>
      <w:r w:rsidRPr="007F4E9F">
        <w:rPr>
          <w:rFonts w:ascii="Times New Roman" w:hAnsi="Times New Roman"/>
          <w:noProof/>
          <w:lang w:val="es-ES"/>
        </w:rPr>
        <w:t xml:space="preserve">ADA shared </w:t>
      </w:r>
      <w:r w:rsidR="00990AA6" w:rsidRPr="007F4E9F">
        <w:rPr>
          <w:rFonts w:ascii="Times New Roman" w:hAnsi="Times New Roman"/>
          <w:noProof/>
          <w:lang w:val="es-ES"/>
        </w:rPr>
        <w:t xml:space="preserve">services </w:t>
      </w:r>
      <w:r w:rsidRPr="007F4E9F">
        <w:rPr>
          <w:rFonts w:ascii="Times New Roman" w:hAnsi="Times New Roman"/>
          <w:noProof/>
          <w:lang w:val="es-ES"/>
        </w:rPr>
        <w:t xml:space="preserve">solutions. (2024). </w:t>
      </w:r>
      <w:r w:rsidRPr="007F4E9F">
        <w:rPr>
          <w:rFonts w:ascii="Times New Roman" w:hAnsi="Times New Roman"/>
          <w:i/>
          <w:iCs/>
          <w:noProof/>
          <w:lang w:val="es-ES"/>
        </w:rPr>
        <w:t>Construcción ficha técnica indicadores plataforma marketplace economía circular.</w:t>
      </w:r>
      <w:r w:rsidRPr="007F4E9F">
        <w:rPr>
          <w:rFonts w:ascii="Times New Roman" w:hAnsi="Times New Roman"/>
          <w:noProof/>
          <w:lang w:val="es-ES"/>
        </w:rPr>
        <w:t xml:space="preserve"> Bogotá D.C.</w:t>
      </w:r>
    </w:p>
    <w:p w14:paraId="50614962" w14:textId="49CC4D64" w:rsidR="004161BE" w:rsidRPr="007F4E9F" w:rsidRDefault="004161BE" w:rsidP="004161BE">
      <w:pPr>
        <w:spacing w:line="240" w:lineRule="auto"/>
        <w:jc w:val="both"/>
        <w:rPr>
          <w:rFonts w:ascii="Times New Roman" w:hAnsi="Times New Roman" w:cs="Times New Roman"/>
        </w:rPr>
      </w:pPr>
      <w:r w:rsidRPr="007F4E9F">
        <w:rPr>
          <w:rFonts w:ascii="Times New Roman" w:eastAsia="Times New Roman" w:hAnsi="Times New Roman" w:cs="Times New Roman"/>
        </w:rPr>
        <w:t xml:space="preserve">El conjunto de indicadores desarrollados presenta una fuerte orientación hacia la medición de impactos, gestión y alineación estratégica en economía circular. De los seis indicadores, únicamente uno (ICEN) se vincula de manera directa con la operación del Marketplace como espacio de intercambio, los demás responden a los alcances definidos para la pertinacia en la </w:t>
      </w:r>
      <w:r w:rsidRPr="007F4E9F">
        <w:rPr>
          <w:rFonts w:ascii="Times New Roman" w:hAnsi="Times New Roman" w:cs="Times New Roman"/>
        </w:rPr>
        <w:t xml:space="preserve">adecuación de la intervención a los contextos urbanos y sectoriales de cada ciudad y a la relevancia frente a las prioridades locales y regionales de sostenibilidad </w:t>
      </w:r>
      <w:r w:rsidR="00B92FFC" w:rsidRPr="007F4E9F">
        <w:rPr>
          <w:rFonts w:ascii="Times New Roman" w:hAnsi="Times New Roman" w:cs="Times New Roman"/>
        </w:rPr>
        <w:t>(ADA shared services solutions, 2024e)</w:t>
      </w:r>
      <w:r w:rsidRPr="007F4E9F">
        <w:rPr>
          <w:rFonts w:ascii="Times New Roman" w:hAnsi="Times New Roman" w:cs="Times New Roman"/>
        </w:rPr>
        <w:t>.</w:t>
      </w:r>
    </w:p>
    <w:p w14:paraId="3F491DE0" w14:textId="0C932C6D" w:rsidR="004161BE" w:rsidRPr="007F4E9F" w:rsidRDefault="004161BE" w:rsidP="004161BE">
      <w:pPr>
        <w:spacing w:before="240"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 xml:space="preserve">Adicionalmente, como se ratifica en el componente 2, la plataforma es una herramienta pertinente en cuanto es un recurso que facilita la gobernanza basada en datos y sus operativización es pertinente en cuanto tiene el potencial de </w:t>
      </w:r>
      <w:r w:rsidRPr="007F4E9F">
        <w:rPr>
          <w:rFonts w:ascii="Times New Roman" w:eastAsia="Times New Roman" w:hAnsi="Times New Roman" w:cs="Times New Roman"/>
          <w:i/>
          <w:iCs/>
        </w:rPr>
        <w:t>consolidar y organizar información sobre flujos metabólicos (materiales, residuos, energía y datos) de los sectores prioritarios; Monitorear la participación y desempeño de las ciudades, a través de indicadores comparables y criterios comunes y respaldar la toma de decisiones colaborativas, facilitando el análisis de tendencias y la identificación de sinergias regionales</w:t>
      </w:r>
      <w:r w:rsidR="00B92FFC" w:rsidRPr="007F4E9F">
        <w:rPr>
          <w:rFonts w:ascii="Times New Roman" w:eastAsia="Times New Roman" w:hAnsi="Times New Roman" w:cs="Times New Roman"/>
          <w:i/>
          <w:iCs/>
        </w:rPr>
        <w:t xml:space="preserve"> (ICLEI &amp; ACODAL, 2025</w:t>
      </w:r>
      <w:r w:rsidR="006D0DD6" w:rsidRPr="007F4E9F">
        <w:rPr>
          <w:rFonts w:ascii="Times New Roman" w:eastAsia="Times New Roman" w:hAnsi="Times New Roman" w:cs="Times New Roman"/>
          <w:i/>
          <w:iCs/>
        </w:rPr>
        <w:t>a).</w:t>
      </w:r>
    </w:p>
    <w:p w14:paraId="24348EE2" w14:textId="77777777" w:rsidR="003B5B35" w:rsidRPr="007F4E9F" w:rsidRDefault="003B5B35" w:rsidP="0032235A">
      <w:pPr>
        <w:jc w:val="both"/>
        <w:rPr>
          <w:rFonts w:ascii="Times New Roman" w:eastAsia="Times New Roman" w:hAnsi="Times New Roman" w:cs="Times New Roman"/>
        </w:rPr>
      </w:pPr>
    </w:p>
    <w:p w14:paraId="38802D22" w14:textId="0E202216" w:rsidR="00307F3E" w:rsidRPr="007F4E9F" w:rsidRDefault="00307F3E" w:rsidP="0032235A">
      <w:pPr>
        <w:pStyle w:val="Heading4"/>
        <w:jc w:val="both"/>
        <w:rPr>
          <w:rFonts w:ascii="Times New Roman" w:hAnsi="Times New Roman"/>
        </w:rPr>
      </w:pPr>
      <w:bookmarkStart w:id="61" w:name="_Toc226750196"/>
      <w:r w:rsidRPr="007F4E9F">
        <w:rPr>
          <w:rFonts w:ascii="Times New Roman" w:hAnsi="Times New Roman"/>
        </w:rPr>
        <w:t>Percepciones de los actores</w:t>
      </w:r>
      <w:bookmarkEnd w:id="61"/>
      <w:r w:rsidRPr="007F4E9F">
        <w:rPr>
          <w:rFonts w:ascii="Times New Roman" w:hAnsi="Times New Roman"/>
        </w:rPr>
        <w:t xml:space="preserve"> </w:t>
      </w:r>
    </w:p>
    <w:p w14:paraId="6A342660" w14:textId="77777777" w:rsidR="002B3AC5" w:rsidRPr="007F4E9F" w:rsidRDefault="002B3AC5" w:rsidP="002B3AC5">
      <w:pPr>
        <w:spacing w:line="240" w:lineRule="auto"/>
        <w:jc w:val="both"/>
        <w:rPr>
          <w:rFonts w:ascii="Times New Roman" w:hAnsi="Times New Roman" w:cs="Times New Roman"/>
        </w:rPr>
      </w:pPr>
      <w:r w:rsidRPr="007F4E9F">
        <w:rPr>
          <w:rFonts w:ascii="Times New Roman" w:hAnsi="Times New Roman" w:cs="Times New Roman"/>
        </w:rPr>
        <w:t xml:space="preserve">Finalmente, los actores consultados para verificar la pertinencia del Marketplace, aportan elementos importantes para ratificar la pertinencia del proyecto. En primera medida se consultó a los beneficiaros directos de la plataforma como son las ciudades beneficiarias representadas en el comité directivo del proyecto (Bogotá, Lima, Quito y Santiago de Chile). Adicionalmente se recogen las percepciones del comité técnico del proyecto en la Secretaría Distrital de Ambiente de Bogotá como organismo ejecutor y la profesional de apoyo a mercadeo de la plataforma digital. </w:t>
      </w:r>
    </w:p>
    <w:p w14:paraId="466FE10D" w14:textId="267EBAB5" w:rsidR="00AB0650" w:rsidRPr="007F4E9F" w:rsidRDefault="00F95A3B" w:rsidP="0032235A">
      <w:pPr>
        <w:jc w:val="both"/>
        <w:rPr>
          <w:rFonts w:ascii="Times New Roman" w:hAnsi="Times New Roman" w:cs="Times New Roman"/>
        </w:rPr>
      </w:pPr>
      <w:r w:rsidRPr="007F4E9F">
        <w:rPr>
          <w:rFonts w:ascii="Times New Roman" w:hAnsi="Times New Roman" w:cs="Times New Roman"/>
        </w:rPr>
        <w:t xml:space="preserve">En taller </w:t>
      </w:r>
      <w:r w:rsidR="006F4082" w:rsidRPr="007F4E9F">
        <w:rPr>
          <w:rFonts w:ascii="Times New Roman" w:hAnsi="Times New Roman" w:cs="Times New Roman"/>
        </w:rPr>
        <w:t xml:space="preserve">realizado </w:t>
      </w:r>
      <w:r w:rsidRPr="007F4E9F">
        <w:rPr>
          <w:rFonts w:ascii="Times New Roman" w:hAnsi="Times New Roman" w:cs="Times New Roman"/>
        </w:rPr>
        <w:t xml:space="preserve">con </w:t>
      </w:r>
      <w:r w:rsidR="00DE296F" w:rsidRPr="007F4E9F">
        <w:rPr>
          <w:rFonts w:ascii="Times New Roman" w:hAnsi="Times New Roman" w:cs="Times New Roman"/>
        </w:rPr>
        <w:t>el Comité</w:t>
      </w:r>
      <w:r w:rsidR="00056DB6" w:rsidRPr="007F4E9F">
        <w:rPr>
          <w:rFonts w:ascii="Times New Roman" w:hAnsi="Times New Roman" w:cs="Times New Roman"/>
        </w:rPr>
        <w:t xml:space="preserve"> </w:t>
      </w:r>
      <w:r w:rsidRPr="007F4E9F">
        <w:rPr>
          <w:rFonts w:ascii="Times New Roman" w:hAnsi="Times New Roman" w:cs="Times New Roman"/>
        </w:rPr>
        <w:t>D</w:t>
      </w:r>
      <w:r w:rsidR="00056DB6" w:rsidRPr="007F4E9F">
        <w:rPr>
          <w:rFonts w:ascii="Times New Roman" w:hAnsi="Times New Roman" w:cs="Times New Roman"/>
        </w:rPr>
        <w:t xml:space="preserve">irectivo </w:t>
      </w:r>
      <w:r w:rsidR="006F4082" w:rsidRPr="007F4E9F">
        <w:rPr>
          <w:rFonts w:ascii="Times New Roman" w:hAnsi="Times New Roman" w:cs="Times New Roman"/>
        </w:rPr>
        <w:t xml:space="preserve">el 5 de marzo de 2026 </w:t>
      </w:r>
      <w:r w:rsidR="003B72C8" w:rsidRPr="007F4E9F">
        <w:rPr>
          <w:rFonts w:ascii="Times New Roman" w:hAnsi="Times New Roman" w:cs="Times New Roman"/>
        </w:rPr>
        <w:t>abordó</w:t>
      </w:r>
      <w:r w:rsidR="006F4082" w:rsidRPr="007F4E9F">
        <w:rPr>
          <w:rFonts w:ascii="Times New Roman" w:hAnsi="Times New Roman" w:cs="Times New Roman"/>
        </w:rPr>
        <w:t xml:space="preserve"> lo</w:t>
      </w:r>
      <w:r w:rsidR="00120876" w:rsidRPr="007F4E9F">
        <w:rPr>
          <w:rFonts w:ascii="Times New Roman" w:hAnsi="Times New Roman" w:cs="Times New Roman"/>
        </w:rPr>
        <w:t>s</w:t>
      </w:r>
      <w:r w:rsidR="006F4082" w:rsidRPr="007F4E9F">
        <w:rPr>
          <w:rFonts w:ascii="Times New Roman" w:hAnsi="Times New Roman" w:cs="Times New Roman"/>
        </w:rPr>
        <w:t xml:space="preserve"> 7 criterios para ser evaluados en una escala Likert de 1 al 5 donde 1 representa el total desacuerdo y el 5 el total acuerdo con la afirmación</w:t>
      </w:r>
      <w:r w:rsidR="00A937D7" w:rsidRPr="007F4E9F">
        <w:rPr>
          <w:rFonts w:ascii="Times New Roman" w:hAnsi="Times New Roman" w:cs="Times New Roman"/>
        </w:rPr>
        <w:t xml:space="preserve"> planteada</w:t>
      </w:r>
      <w:r w:rsidR="006F4082" w:rsidRPr="007F4E9F">
        <w:rPr>
          <w:rFonts w:ascii="Times New Roman" w:hAnsi="Times New Roman" w:cs="Times New Roman"/>
        </w:rPr>
        <w:t xml:space="preserve">. En lo referente a la pertinencia, el taller se concentró </w:t>
      </w:r>
      <w:r w:rsidR="00120876" w:rsidRPr="007F4E9F">
        <w:rPr>
          <w:rFonts w:ascii="Times New Roman" w:hAnsi="Times New Roman" w:cs="Times New Roman"/>
        </w:rPr>
        <w:t xml:space="preserve">dos </w:t>
      </w:r>
      <w:r w:rsidR="006F4082" w:rsidRPr="007F4E9F">
        <w:rPr>
          <w:rFonts w:ascii="Times New Roman" w:hAnsi="Times New Roman" w:cs="Times New Roman"/>
        </w:rPr>
        <w:t>cuestiones</w:t>
      </w:r>
      <w:r w:rsidR="00120876" w:rsidRPr="007F4E9F">
        <w:rPr>
          <w:rFonts w:ascii="Times New Roman" w:hAnsi="Times New Roman" w:cs="Times New Roman"/>
        </w:rPr>
        <w:t>:</w:t>
      </w:r>
      <w:r w:rsidR="00216534" w:rsidRPr="007F4E9F">
        <w:rPr>
          <w:rFonts w:ascii="Times New Roman" w:hAnsi="Times New Roman" w:cs="Times New Roman"/>
        </w:rPr>
        <w:t xml:space="preserve"> la primera orientada a la pertinencia en el diseño y la segunda a la importancia de las metas para cada ciudad</w:t>
      </w:r>
      <w:r w:rsidR="006F4082" w:rsidRPr="007F4E9F">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8630"/>
      </w:tblGrid>
      <w:tr w:rsidR="006F4082" w:rsidRPr="007F4E9F" w14:paraId="042126E7" w14:textId="77777777" w:rsidTr="006F4082">
        <w:tc>
          <w:tcPr>
            <w:tcW w:w="8630" w:type="dxa"/>
          </w:tcPr>
          <w:p w14:paraId="430E1E7F" w14:textId="23706C82" w:rsidR="006F4082" w:rsidRPr="007F4E9F" w:rsidRDefault="006F4082" w:rsidP="0032235A">
            <w:pPr>
              <w:jc w:val="both"/>
              <w:rPr>
                <w:rFonts w:ascii="Times New Roman" w:hAnsi="Times New Roman" w:cs="Times New Roman"/>
              </w:rPr>
            </w:pPr>
            <w:r w:rsidRPr="007F4E9F">
              <w:rPr>
                <w:rFonts w:ascii="Times New Roman" w:hAnsi="Times New Roman" w:cs="Times New Roman"/>
              </w:rPr>
              <w:t xml:space="preserve">P1. El diseño original de la plataforma con un alcance </w:t>
            </w:r>
            <w:r w:rsidR="00350FA4" w:rsidRPr="007F4E9F">
              <w:rPr>
                <w:rFonts w:ascii="Times New Roman" w:hAnsi="Times New Roman" w:cs="Times New Roman"/>
              </w:rPr>
              <w:t>muticiudad</w:t>
            </w:r>
            <w:r w:rsidRPr="007F4E9F">
              <w:rPr>
                <w:rFonts w:ascii="Times New Roman" w:hAnsi="Times New Roman" w:cs="Times New Roman"/>
              </w:rPr>
              <w:t xml:space="preserve"> (Bogotá, Lima, Quito, Santiago) fue una decisión pertinente para el contexto de la región</w:t>
            </w:r>
            <w:r w:rsidR="00350FA4" w:rsidRPr="007F4E9F">
              <w:rPr>
                <w:rFonts w:ascii="Times New Roman" w:hAnsi="Times New Roman" w:cs="Times New Roman"/>
              </w:rPr>
              <w:t>.</w:t>
            </w:r>
          </w:p>
          <w:p w14:paraId="23E764D3" w14:textId="77777777" w:rsidR="00350FA4" w:rsidRPr="007F4E9F" w:rsidRDefault="00350FA4" w:rsidP="0032235A">
            <w:pPr>
              <w:jc w:val="both"/>
              <w:rPr>
                <w:rFonts w:ascii="Times New Roman" w:hAnsi="Times New Roman" w:cs="Times New Roman"/>
              </w:rPr>
            </w:pPr>
          </w:p>
          <w:p w14:paraId="162E2A80" w14:textId="7F13B4CF" w:rsidR="00350FA4" w:rsidRPr="007F4E9F" w:rsidRDefault="00350FA4" w:rsidP="0032235A">
            <w:pPr>
              <w:jc w:val="both"/>
              <w:rPr>
                <w:rFonts w:ascii="Times New Roman" w:hAnsi="Times New Roman" w:cs="Times New Roman"/>
              </w:rPr>
            </w:pPr>
            <w:r w:rsidRPr="007F4E9F">
              <w:rPr>
                <w:rFonts w:ascii="Times New Roman" w:hAnsi="Times New Roman" w:cs="Times New Roman"/>
              </w:rPr>
              <w:t>P2. La participación no vinculante de algunas ciudades, en términos de vinculación de usuarios a la plataforma y el cumplimiento de metas de toneladas limitó la actividad de algunas ciudades beneficiarias.</w:t>
            </w:r>
          </w:p>
        </w:tc>
      </w:tr>
    </w:tbl>
    <w:p w14:paraId="7CD19F42" w14:textId="393C148C" w:rsidR="006F4082" w:rsidRPr="007F4E9F" w:rsidRDefault="006F4082" w:rsidP="0032235A">
      <w:pPr>
        <w:jc w:val="both"/>
        <w:rPr>
          <w:rFonts w:ascii="Times New Roman" w:hAnsi="Times New Roman" w:cs="Times New Roman"/>
        </w:rPr>
      </w:pPr>
    </w:p>
    <w:p w14:paraId="50ED01EB" w14:textId="5AC4D3C3" w:rsidR="006F4082" w:rsidRPr="007F4E9F" w:rsidRDefault="009C0F6F" w:rsidP="0032235A">
      <w:pPr>
        <w:jc w:val="both"/>
        <w:rPr>
          <w:rFonts w:ascii="Times New Roman" w:hAnsi="Times New Roman" w:cs="Times New Roman"/>
        </w:rPr>
      </w:pPr>
      <w:r w:rsidRPr="007F4E9F">
        <w:rPr>
          <w:rFonts w:ascii="Times New Roman" w:hAnsi="Times New Roman" w:cs="Times New Roman"/>
        </w:rPr>
        <w:t>En cuanto a la primera pregunta, e</w:t>
      </w:r>
      <w:r w:rsidR="006F4082" w:rsidRPr="007F4E9F">
        <w:rPr>
          <w:rFonts w:ascii="Times New Roman" w:hAnsi="Times New Roman" w:cs="Times New Roman"/>
        </w:rPr>
        <w:t xml:space="preserve">l Comité </w:t>
      </w:r>
      <w:r w:rsidRPr="007F4E9F">
        <w:rPr>
          <w:rFonts w:ascii="Times New Roman" w:hAnsi="Times New Roman" w:cs="Times New Roman"/>
        </w:rPr>
        <w:t>D</w:t>
      </w:r>
      <w:r w:rsidR="006F4082" w:rsidRPr="007F4E9F">
        <w:rPr>
          <w:rFonts w:ascii="Times New Roman" w:hAnsi="Times New Roman" w:cs="Times New Roman"/>
        </w:rPr>
        <w:t>irectivo ratificó la pertinencia del proyecto al considerar que la generación de activos regionales en materia de economía circular es importante y que la plataforma regional de economía circular en su producto digital del Marketplace puede facilitar el intercambio de productos y servicios circulares</w:t>
      </w:r>
      <w:r w:rsidR="00A937D7" w:rsidRPr="007F4E9F">
        <w:rPr>
          <w:rFonts w:ascii="Times New Roman" w:hAnsi="Times New Roman" w:cs="Times New Roman"/>
        </w:rPr>
        <w:t xml:space="preserve"> en las ciudades</w:t>
      </w:r>
      <w:r w:rsidR="006F4082" w:rsidRPr="007F4E9F">
        <w:rPr>
          <w:rFonts w:ascii="Times New Roman" w:hAnsi="Times New Roman" w:cs="Times New Roman"/>
        </w:rPr>
        <w:t>.</w:t>
      </w:r>
    </w:p>
    <w:p w14:paraId="2FB5D616" w14:textId="6F5B8C9A" w:rsidR="00AB0650" w:rsidRPr="007F4E9F" w:rsidRDefault="00DE296F" w:rsidP="0032235A">
      <w:pPr>
        <w:jc w:val="both"/>
        <w:rPr>
          <w:rFonts w:ascii="Times New Roman" w:hAnsi="Times New Roman" w:cs="Times New Roman"/>
        </w:rPr>
      </w:pPr>
      <w:r w:rsidRPr="007F4E9F">
        <w:rPr>
          <w:rFonts w:ascii="Times New Roman" w:hAnsi="Times New Roman" w:cs="Times New Roman"/>
        </w:rPr>
        <w:t xml:space="preserve">Sin embargo, los miembros del comité manifiestan que la plataforma por </w:t>
      </w:r>
      <w:r w:rsidR="003E2785" w:rsidRPr="007F4E9F">
        <w:rPr>
          <w:rFonts w:ascii="Times New Roman" w:hAnsi="Times New Roman" w:cs="Times New Roman"/>
        </w:rPr>
        <w:t>sí</w:t>
      </w:r>
      <w:r w:rsidRPr="007F4E9F">
        <w:rPr>
          <w:rFonts w:ascii="Times New Roman" w:hAnsi="Times New Roman" w:cs="Times New Roman"/>
        </w:rPr>
        <w:t xml:space="preserve"> misma no puede lograr este intercambio entre la oferta y la demanda sin antes contar con elementos habilitantes para los negocios circulares como </w:t>
      </w:r>
      <w:r w:rsidR="00DD4C39" w:rsidRPr="007F4E9F">
        <w:rPr>
          <w:rFonts w:ascii="Times New Roman" w:hAnsi="Times New Roman" w:cs="Times New Roman"/>
        </w:rPr>
        <w:t>un marco regulatorio</w:t>
      </w:r>
      <w:r w:rsidRPr="007F4E9F">
        <w:rPr>
          <w:rFonts w:ascii="Times New Roman" w:hAnsi="Times New Roman" w:cs="Times New Roman"/>
        </w:rPr>
        <w:t xml:space="preserve"> e incentivos </w:t>
      </w:r>
      <w:r w:rsidR="009C0F6F" w:rsidRPr="007F4E9F">
        <w:rPr>
          <w:rFonts w:ascii="Times New Roman" w:hAnsi="Times New Roman" w:cs="Times New Roman"/>
        </w:rPr>
        <w:t>claros.</w:t>
      </w:r>
    </w:p>
    <w:p w14:paraId="369C31B5" w14:textId="49602AA0" w:rsidR="009C0F6F" w:rsidRPr="007F4E9F" w:rsidRDefault="009C0F6F" w:rsidP="0032235A">
      <w:pPr>
        <w:jc w:val="both"/>
        <w:rPr>
          <w:rFonts w:ascii="Times New Roman" w:hAnsi="Times New Roman" w:cs="Times New Roman"/>
        </w:rPr>
      </w:pPr>
      <w:r w:rsidRPr="007F4E9F">
        <w:rPr>
          <w:rFonts w:ascii="Times New Roman" w:hAnsi="Times New Roman" w:cs="Times New Roman"/>
        </w:rPr>
        <w:t xml:space="preserve">En cuanto a la segunda pregunta, </w:t>
      </w:r>
      <w:r w:rsidR="002010E8" w:rsidRPr="007F4E9F">
        <w:rPr>
          <w:rFonts w:ascii="Times New Roman" w:hAnsi="Times New Roman" w:cs="Times New Roman"/>
        </w:rPr>
        <w:t>desde CORFO, (Santiago de Chile) se valoró como mu</w:t>
      </w:r>
      <w:r w:rsidR="00F21838" w:rsidRPr="007F4E9F">
        <w:rPr>
          <w:rFonts w:ascii="Times New Roman" w:hAnsi="Times New Roman" w:cs="Times New Roman"/>
        </w:rPr>
        <w:t>y</w:t>
      </w:r>
      <w:r w:rsidR="002010E8" w:rsidRPr="007F4E9F">
        <w:rPr>
          <w:rFonts w:ascii="Times New Roman" w:hAnsi="Times New Roman" w:cs="Times New Roman"/>
        </w:rPr>
        <w:t xml:space="preserve"> virtuoso generar iniciativas colaborativas </w:t>
      </w:r>
      <w:r w:rsidR="00995291" w:rsidRPr="007F4E9F">
        <w:rPr>
          <w:rFonts w:ascii="Times New Roman" w:hAnsi="Times New Roman" w:cs="Times New Roman"/>
        </w:rPr>
        <w:t xml:space="preserve">piloto, </w:t>
      </w:r>
      <w:r w:rsidR="002010E8" w:rsidRPr="007F4E9F">
        <w:rPr>
          <w:rFonts w:ascii="Times New Roman" w:hAnsi="Times New Roman" w:cs="Times New Roman"/>
        </w:rPr>
        <w:t>que abran ventanas de colaboración futura</w:t>
      </w:r>
      <w:r w:rsidR="0054764B" w:rsidRPr="007F4E9F">
        <w:rPr>
          <w:rFonts w:ascii="Times New Roman" w:hAnsi="Times New Roman" w:cs="Times New Roman"/>
        </w:rPr>
        <w:t xml:space="preserve"> y que</w:t>
      </w:r>
      <w:r w:rsidR="00995291" w:rsidRPr="007F4E9F">
        <w:rPr>
          <w:rFonts w:ascii="Times New Roman" w:hAnsi="Times New Roman" w:cs="Times New Roman"/>
        </w:rPr>
        <w:t xml:space="preserve"> permitan probar y ajustar </w:t>
      </w:r>
      <w:r w:rsidR="002010E8" w:rsidRPr="007F4E9F">
        <w:rPr>
          <w:rFonts w:ascii="Times New Roman" w:hAnsi="Times New Roman" w:cs="Times New Roman"/>
        </w:rPr>
        <w:t xml:space="preserve">para dinamizar los modelos de negocio circulares en la región. </w:t>
      </w:r>
      <w:r w:rsidR="00AB0650" w:rsidRPr="007F4E9F">
        <w:rPr>
          <w:rFonts w:ascii="Times New Roman" w:hAnsi="Times New Roman" w:cs="Times New Roman"/>
        </w:rPr>
        <w:t>Desde la Secretaría de Desarrollo Productivo y Competitividad de Quito y CORFO se considera que debe trabajar en consolidar el ecosistema de colaboración entre las ciudades para lograr la dinamización requerida de la plataforma regional de economía circular. Por su parte, la Secretaría Distrital de Ambiente de Bogotá (SDA)</w:t>
      </w:r>
      <w:r w:rsidR="00966022" w:rsidRPr="007F4E9F">
        <w:rPr>
          <w:rFonts w:ascii="Times New Roman" w:hAnsi="Times New Roman" w:cs="Times New Roman"/>
        </w:rPr>
        <w:t xml:space="preserve"> encuentra muy pertinente el proyecto dado que la plataforma se ha integrado con la Política Distrital de Economía Circular para el cumplimiento de las metas de materiales</w:t>
      </w:r>
      <w:r w:rsidR="0089117D" w:rsidRPr="007F4E9F">
        <w:rPr>
          <w:rFonts w:ascii="Times New Roman" w:hAnsi="Times New Roman" w:cs="Times New Roman"/>
        </w:rPr>
        <w:t xml:space="preserve"> y es muy valioso interactuar con las otras ciudades para posicionar iniciativas como el pasaporte digital de productos</w:t>
      </w:r>
      <w:r w:rsidR="00A937D7" w:rsidRPr="007F4E9F">
        <w:rPr>
          <w:rFonts w:ascii="Times New Roman" w:hAnsi="Times New Roman" w:cs="Times New Roman"/>
        </w:rPr>
        <w:t xml:space="preserve"> en la región </w:t>
      </w:r>
      <w:r w:rsidR="003E2785" w:rsidRPr="007F4E9F">
        <w:rPr>
          <w:rFonts w:ascii="Times New Roman" w:hAnsi="Times New Roman" w:cs="Times New Roman"/>
        </w:rPr>
        <w:t>latinoamericana</w:t>
      </w:r>
      <w:r w:rsidR="00E7544A" w:rsidRPr="007F4E9F">
        <w:rPr>
          <w:rFonts w:ascii="Times New Roman" w:hAnsi="Times New Roman" w:cs="Times New Roman"/>
        </w:rPr>
        <w:t xml:space="preserve">. </w:t>
      </w:r>
    </w:p>
    <w:p w14:paraId="3C2F4F47" w14:textId="633A70FF" w:rsidR="003E2785" w:rsidRPr="007F4E9F" w:rsidRDefault="009C0F6F" w:rsidP="0032235A">
      <w:pPr>
        <w:jc w:val="both"/>
        <w:rPr>
          <w:rFonts w:ascii="Times New Roman" w:hAnsi="Times New Roman" w:cs="Times New Roman"/>
        </w:rPr>
      </w:pPr>
      <w:r w:rsidRPr="007F4E9F">
        <w:rPr>
          <w:rFonts w:ascii="Times New Roman" w:hAnsi="Times New Roman" w:cs="Times New Roman"/>
        </w:rPr>
        <w:t xml:space="preserve">En esta medida, y aunque se trate de acuerdos voluntarios de colaboración, para que la plataforma </w:t>
      </w:r>
      <w:r w:rsidR="005405E0" w:rsidRPr="007F4E9F">
        <w:rPr>
          <w:rFonts w:ascii="Times New Roman" w:hAnsi="Times New Roman" w:cs="Times New Roman"/>
        </w:rPr>
        <w:t>muticiudad</w:t>
      </w:r>
      <w:r w:rsidRPr="007F4E9F">
        <w:rPr>
          <w:rFonts w:ascii="Times New Roman" w:hAnsi="Times New Roman" w:cs="Times New Roman"/>
        </w:rPr>
        <w:t xml:space="preserve"> se dinamice aún más, es muy importante diseñar un plan de convocatoria consensuado con las 4 ciudades para vincular más empresas que encuentren valor real para sus negocios en la plataforma</w:t>
      </w:r>
      <w:r w:rsidR="003E2785" w:rsidRPr="007F4E9F">
        <w:rPr>
          <w:rFonts w:ascii="Times New Roman" w:hAnsi="Times New Roman" w:cs="Times New Roman"/>
        </w:rPr>
        <w:t>.</w:t>
      </w:r>
    </w:p>
    <w:p w14:paraId="66936A36" w14:textId="78750435" w:rsidR="00EF2F17" w:rsidRPr="007F4E9F" w:rsidRDefault="000D3811" w:rsidP="0032235A">
      <w:pPr>
        <w:jc w:val="both"/>
        <w:rPr>
          <w:rFonts w:ascii="Times New Roman" w:hAnsi="Times New Roman" w:cs="Times New Roman"/>
        </w:rPr>
      </w:pPr>
      <w:r w:rsidRPr="007F4E9F">
        <w:rPr>
          <w:rFonts w:ascii="Times New Roman" w:hAnsi="Times New Roman" w:cs="Times New Roman"/>
        </w:rPr>
        <w:t xml:space="preserve">Las percepciones de los usuarios de la plataforma se recogieron en la encuesta descrita en la tabla 3, </w:t>
      </w:r>
      <w:r w:rsidR="00EF2F17" w:rsidRPr="007F4E9F">
        <w:rPr>
          <w:rFonts w:ascii="Times New Roman" w:hAnsi="Times New Roman" w:cs="Times New Roman"/>
        </w:rPr>
        <w:t xml:space="preserve">A </w:t>
      </w:r>
      <w:r w:rsidR="00FA7DCF" w:rsidRPr="007F4E9F">
        <w:rPr>
          <w:rFonts w:ascii="Times New Roman" w:hAnsi="Times New Roman" w:cs="Times New Roman"/>
        </w:rPr>
        <w:t>continuación,</w:t>
      </w:r>
      <w:r w:rsidR="00EF2F17" w:rsidRPr="007F4E9F">
        <w:rPr>
          <w:rFonts w:ascii="Times New Roman" w:hAnsi="Times New Roman" w:cs="Times New Roman"/>
        </w:rPr>
        <w:t xml:space="preserve"> se presentas los resultados generales de inicio de la encuesta y el desarrollo de las preguntas de pertinencia. </w:t>
      </w:r>
    </w:p>
    <w:p w14:paraId="6D3D27C6" w14:textId="77777777" w:rsidR="00FA7DCF" w:rsidRPr="007F4E9F" w:rsidRDefault="00FA7DCF" w:rsidP="0032235A">
      <w:pPr>
        <w:jc w:val="both"/>
        <w:rPr>
          <w:rFonts w:ascii="Times New Roman" w:hAnsi="Times New Roman" w:cs="Times New Roman"/>
          <w:b/>
          <w:bCs/>
        </w:rPr>
      </w:pPr>
      <w:r w:rsidRPr="007F4E9F">
        <w:rPr>
          <w:rFonts w:ascii="Times New Roman" w:hAnsi="Times New Roman" w:cs="Times New Roman"/>
          <w:b/>
          <w:bCs/>
        </w:rPr>
        <w:t>Distribución por ciudad y sector</w:t>
      </w:r>
    </w:p>
    <w:p w14:paraId="72E0C886" w14:textId="3479C460" w:rsidR="00BF2CE5" w:rsidRPr="007F4E9F" w:rsidRDefault="002B3AC5" w:rsidP="0032235A">
      <w:pPr>
        <w:keepNext/>
        <w:spacing w:after="0" w:line="240" w:lineRule="auto"/>
        <w:jc w:val="both"/>
        <w:rPr>
          <w:rFonts w:ascii="Times New Roman" w:hAnsi="Times New Roman" w:cs="Times New Roman"/>
        </w:rPr>
      </w:pPr>
      <w:r w:rsidRPr="007F4E9F">
        <w:rPr>
          <w:rFonts w:ascii="Times New Roman" w:hAnsi="Times New Roman" w:cs="Times New Roman"/>
        </w:rPr>
        <w:t>La muestra recolectada corresponde a usuarios activos y validados de la plataforma (21 usuarios muestreados), sin embargo, los resultados de percepción de estos usuarios no son representativos a nivel regional y deben leerse como evidencia exploratoria dada su interacción en la plataforma digital. Se observa una marcada concentración geográfica en Bogotá, D.C. con a 19 de las 21 empresas participantes, lo que evidencia un reto significativo en la adopción e integración regional temprana del Marketplace frente a ciudades como Lima, Quito o Santiago de Chile. Esto evidencia un reto significativo en la adopción e integración regional temprana del Marketplace frente a otras ciudades, registrando apenas 1 usuario en Quito y 1 usuario en Santiago de Chile (sin participación en la muestra para Lima). A nivel sectorial, la participación es diversa y está liderada por la industria manufacturera, abarcando a 8 empresas del sector Textil y 5 de Plásticos. El resto de la muestra se compone de 2 empresas de Alimentos/Orgánicos, 2 de Sostenibilidad, 2 de Tecnología, 1 de Artes gráficas y 1 de Servicios. Ver figura 2</w:t>
      </w:r>
    </w:p>
    <w:p w14:paraId="3E6F6EEB" w14:textId="77777777" w:rsidR="00BF2CE5" w:rsidRPr="007F4E9F" w:rsidRDefault="00BF2CE5" w:rsidP="0032235A">
      <w:pPr>
        <w:keepNext/>
        <w:spacing w:after="0" w:line="240" w:lineRule="auto"/>
        <w:jc w:val="both"/>
        <w:rPr>
          <w:rFonts w:ascii="Times New Roman" w:hAnsi="Times New Roman" w:cs="Times New Roman"/>
        </w:rPr>
      </w:pPr>
    </w:p>
    <w:p w14:paraId="5E575A04" w14:textId="10CF118B" w:rsidR="00FA7DCF" w:rsidRPr="007F4E9F" w:rsidRDefault="00FA7DCF" w:rsidP="0032235A">
      <w:pPr>
        <w:keepNext/>
        <w:spacing w:after="0" w:line="240" w:lineRule="auto"/>
        <w:jc w:val="both"/>
        <w:rPr>
          <w:rFonts w:ascii="Times New Roman" w:hAnsi="Times New Roman" w:cs="Times New Roman"/>
        </w:rPr>
      </w:pPr>
      <w:r w:rsidRPr="007F4E9F">
        <w:rPr>
          <w:rFonts w:ascii="Times New Roman" w:hAnsi="Times New Roman" w:cs="Times New Roman"/>
          <w:noProof/>
        </w:rPr>
        <w:drawing>
          <wp:inline distT="0" distB="0" distL="0" distR="0" wp14:anchorId="3ED19069" wp14:editId="089DD880">
            <wp:extent cx="5334000" cy="3557588"/>
            <wp:effectExtent l="0" t="0" r="0" b="5080"/>
            <wp:docPr id="310653048" name="Gráfico 1">
              <a:extLst xmlns:a="http://schemas.openxmlformats.org/drawingml/2006/main">
                <a:ext uri="{FF2B5EF4-FFF2-40B4-BE49-F238E27FC236}">
                  <a16:creationId xmlns:a16="http://schemas.microsoft.com/office/drawing/2014/main" id="{93A2A13F-ADEB-1C4A-00B1-413C639146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C5B3D40" w14:textId="25B4E26E" w:rsidR="00FA7DCF" w:rsidRPr="007F4E9F" w:rsidRDefault="00FA7DCF" w:rsidP="0032235A">
      <w:pPr>
        <w:pStyle w:val="Caption"/>
        <w:jc w:val="both"/>
        <w:rPr>
          <w:rFonts w:ascii="Times New Roman" w:hAnsi="Times New Roman" w:cs="Times New Roman"/>
          <w:sz w:val="22"/>
          <w:szCs w:val="22"/>
        </w:rPr>
      </w:pPr>
      <w:bookmarkStart w:id="62" w:name="_Toc225848242"/>
      <w:r w:rsidRPr="007F4E9F">
        <w:rPr>
          <w:rFonts w:ascii="Times New Roman" w:hAnsi="Times New Roman" w:cs="Times New Roman"/>
          <w:sz w:val="22"/>
          <w:szCs w:val="22"/>
        </w:rPr>
        <w:t xml:space="preserve">Figura </w:t>
      </w:r>
      <w:r w:rsidR="00AD38CF" w:rsidRPr="007F4E9F">
        <w:rPr>
          <w:rFonts w:ascii="Times New Roman" w:hAnsi="Times New Roman" w:cs="Times New Roman"/>
          <w:sz w:val="22"/>
          <w:szCs w:val="22"/>
        </w:rPr>
        <w:fldChar w:fldCharType="begin"/>
      </w:r>
      <w:r w:rsidR="00AD38CF" w:rsidRPr="007F4E9F">
        <w:rPr>
          <w:rFonts w:ascii="Times New Roman" w:hAnsi="Times New Roman" w:cs="Times New Roman"/>
          <w:sz w:val="22"/>
          <w:szCs w:val="22"/>
        </w:rPr>
        <w:instrText xml:space="preserve"> SEQ Figura \* ARABIC </w:instrText>
      </w:r>
      <w:r w:rsidR="00AD38CF" w:rsidRPr="007F4E9F">
        <w:rPr>
          <w:rFonts w:ascii="Times New Roman" w:hAnsi="Times New Roman" w:cs="Times New Roman"/>
          <w:sz w:val="22"/>
          <w:szCs w:val="22"/>
        </w:rPr>
        <w:fldChar w:fldCharType="separate"/>
      </w:r>
      <w:r w:rsidR="00966267" w:rsidRPr="007F4E9F">
        <w:rPr>
          <w:rFonts w:ascii="Times New Roman" w:hAnsi="Times New Roman" w:cs="Times New Roman"/>
          <w:noProof/>
          <w:sz w:val="22"/>
          <w:szCs w:val="22"/>
        </w:rPr>
        <w:t>2</w:t>
      </w:r>
      <w:r w:rsidR="00AD38CF" w:rsidRPr="007F4E9F">
        <w:rPr>
          <w:rFonts w:ascii="Times New Roman" w:hAnsi="Times New Roman" w:cs="Times New Roman"/>
          <w:sz w:val="22"/>
          <w:szCs w:val="22"/>
        </w:rPr>
        <w:fldChar w:fldCharType="end"/>
      </w:r>
      <w:r w:rsidRPr="007F4E9F">
        <w:rPr>
          <w:rFonts w:ascii="Times New Roman" w:hAnsi="Times New Roman" w:cs="Times New Roman"/>
          <w:sz w:val="22"/>
          <w:szCs w:val="22"/>
        </w:rPr>
        <w:t xml:space="preserve"> . </w:t>
      </w:r>
      <w:r w:rsidRPr="007F4E9F">
        <w:rPr>
          <w:rFonts w:ascii="Times New Roman" w:hAnsi="Times New Roman" w:cs="Times New Roman"/>
          <w:i/>
          <w:iCs/>
          <w:sz w:val="22"/>
          <w:szCs w:val="22"/>
        </w:rPr>
        <w:t>Distribución por ciudad y sector de la muestra recolectada.</w:t>
      </w:r>
      <w:bookmarkEnd w:id="62"/>
    </w:p>
    <w:p w14:paraId="3349A03C" w14:textId="77777777" w:rsidR="00FA7DCF" w:rsidRPr="007F4E9F" w:rsidRDefault="00FA7DCF" w:rsidP="0032235A">
      <w:pPr>
        <w:jc w:val="both"/>
        <w:rPr>
          <w:rFonts w:ascii="Times New Roman" w:hAnsi="Times New Roman" w:cs="Times New Roman"/>
        </w:rPr>
      </w:pPr>
      <w:r w:rsidRPr="007F4E9F">
        <w:rPr>
          <w:rFonts w:ascii="Times New Roman" w:hAnsi="Times New Roman" w:cs="Times New Roman"/>
          <w:b/>
          <w:bCs/>
        </w:rPr>
        <w:t>Fuente:</w:t>
      </w:r>
      <w:r w:rsidRPr="007F4E9F">
        <w:rPr>
          <w:rFonts w:ascii="Times New Roman" w:hAnsi="Times New Roman" w:cs="Times New Roman"/>
        </w:rPr>
        <w:t xml:space="preserve"> elaboración propia.</w:t>
      </w:r>
    </w:p>
    <w:p w14:paraId="3952A13E" w14:textId="77777777" w:rsidR="00743986" w:rsidRPr="007F4E9F" w:rsidRDefault="00743986" w:rsidP="0032235A">
      <w:pPr>
        <w:jc w:val="both"/>
        <w:rPr>
          <w:rFonts w:ascii="Times New Roman" w:hAnsi="Times New Roman" w:cs="Times New Roman"/>
          <w:b/>
          <w:bCs/>
        </w:rPr>
      </w:pPr>
    </w:p>
    <w:p w14:paraId="2A94EB6D" w14:textId="0B00D0B0" w:rsidR="00FA7DCF" w:rsidRPr="007F4E9F" w:rsidRDefault="00FA7DCF" w:rsidP="0032235A">
      <w:pPr>
        <w:jc w:val="both"/>
        <w:rPr>
          <w:rFonts w:ascii="Times New Roman" w:hAnsi="Times New Roman" w:cs="Times New Roman"/>
          <w:b/>
          <w:bCs/>
        </w:rPr>
      </w:pPr>
      <w:r w:rsidRPr="007F4E9F">
        <w:rPr>
          <w:rFonts w:ascii="Times New Roman" w:hAnsi="Times New Roman" w:cs="Times New Roman"/>
          <w:b/>
          <w:bCs/>
        </w:rPr>
        <w:t>Rol en la plataforma</w:t>
      </w:r>
    </w:p>
    <w:p w14:paraId="56635931" w14:textId="00D54A08" w:rsidR="00743986" w:rsidRPr="007F4E9F" w:rsidRDefault="00743986" w:rsidP="00743986">
      <w:pPr>
        <w:spacing w:line="240" w:lineRule="auto"/>
        <w:jc w:val="both"/>
        <w:rPr>
          <w:rFonts w:ascii="Times New Roman" w:hAnsi="Times New Roman" w:cs="Times New Roman"/>
        </w:rPr>
      </w:pPr>
      <w:r w:rsidRPr="007F4E9F">
        <w:rPr>
          <w:rFonts w:ascii="Times New Roman" w:hAnsi="Times New Roman" w:cs="Times New Roman"/>
        </w:rPr>
        <w:t>En cuanto a su dinámica de uso, la mayor parte de la muestra se identifica con un rol dual, donde 10 de los 21 usuarios encuestados manifestaron operar como “Ambas” partes. Esto demuestra que los usuarios ingresan a la plataforma con una expectativa integral de economía circular. Tienen el interés simultáneo de ofertar sus residuos y adquirir subproductos de otros sectores. El resto de las empresas se divide de manera complementaria entre 7 usuarios con un rol exclusivo de Vendedor y 4 usuarios con rol de Comprador. Ver figura 3.</w:t>
      </w:r>
    </w:p>
    <w:p w14:paraId="564533AD" w14:textId="77777777" w:rsidR="00743986" w:rsidRPr="007F4E9F" w:rsidRDefault="00743986" w:rsidP="00743986">
      <w:pPr>
        <w:keepNext/>
        <w:spacing w:line="240" w:lineRule="auto"/>
        <w:jc w:val="center"/>
        <w:rPr>
          <w:rFonts w:ascii="Times New Roman" w:hAnsi="Times New Roman" w:cs="Times New Roman"/>
        </w:rPr>
      </w:pPr>
      <w:r w:rsidRPr="007F4E9F">
        <w:rPr>
          <w:rFonts w:ascii="Times New Roman" w:hAnsi="Times New Roman"/>
          <w:noProof/>
        </w:rPr>
        <w:drawing>
          <wp:inline distT="0" distB="0" distL="0" distR="0" wp14:anchorId="218FE19D" wp14:editId="27CEF74A">
            <wp:extent cx="4572000" cy="2743200"/>
            <wp:effectExtent l="0" t="0" r="0" b="0"/>
            <wp:docPr id="783915738" name="Gráfico 1">
              <a:extLst xmlns:a="http://schemas.openxmlformats.org/drawingml/2006/main">
                <a:ext uri="{FF2B5EF4-FFF2-40B4-BE49-F238E27FC236}">
                  <a16:creationId xmlns:a16="http://schemas.microsoft.com/office/drawing/2014/main" id="{7DB5C868-17C0-3239-0F81-9DF4320CA4F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7DC5B10" w14:textId="35DF204D" w:rsidR="00743986" w:rsidRPr="007F4E9F" w:rsidRDefault="00743986" w:rsidP="00743986">
      <w:pPr>
        <w:pStyle w:val="Caption"/>
        <w:jc w:val="both"/>
        <w:rPr>
          <w:rFonts w:ascii="Times New Roman" w:hAnsi="Times New Roman" w:cs="Times New Roman"/>
          <w:b w:val="0"/>
          <w:bCs w:val="0"/>
          <w:sz w:val="22"/>
          <w:szCs w:val="22"/>
        </w:rPr>
      </w:pPr>
      <w:bookmarkStart w:id="63" w:name="_Toc225500111"/>
      <w:bookmarkStart w:id="64" w:name="_Toc225848243"/>
      <w:r w:rsidRPr="007F4E9F">
        <w:rPr>
          <w:rFonts w:ascii="Times New Roman" w:hAnsi="Times New Roman" w:cs="Times New Roman"/>
          <w:sz w:val="22"/>
          <w:szCs w:val="22"/>
        </w:rPr>
        <w:t xml:space="preserve">Figura </w:t>
      </w:r>
      <w:r w:rsidR="00AD38CF" w:rsidRPr="007F4E9F">
        <w:rPr>
          <w:rFonts w:ascii="Times New Roman" w:hAnsi="Times New Roman" w:cs="Times New Roman"/>
          <w:sz w:val="22"/>
          <w:szCs w:val="22"/>
        </w:rPr>
        <w:fldChar w:fldCharType="begin"/>
      </w:r>
      <w:r w:rsidR="00AD38CF" w:rsidRPr="007F4E9F">
        <w:rPr>
          <w:rFonts w:ascii="Times New Roman" w:hAnsi="Times New Roman" w:cs="Times New Roman"/>
          <w:sz w:val="22"/>
          <w:szCs w:val="22"/>
        </w:rPr>
        <w:instrText xml:space="preserve"> SEQ Figura \* ARABIC </w:instrText>
      </w:r>
      <w:r w:rsidR="00AD38CF" w:rsidRPr="007F4E9F">
        <w:rPr>
          <w:rFonts w:ascii="Times New Roman" w:hAnsi="Times New Roman" w:cs="Times New Roman"/>
          <w:sz w:val="22"/>
          <w:szCs w:val="22"/>
        </w:rPr>
        <w:fldChar w:fldCharType="separate"/>
      </w:r>
      <w:r w:rsidR="00966267" w:rsidRPr="007F4E9F">
        <w:rPr>
          <w:rFonts w:ascii="Times New Roman" w:hAnsi="Times New Roman" w:cs="Times New Roman"/>
          <w:noProof/>
          <w:sz w:val="22"/>
          <w:szCs w:val="22"/>
        </w:rPr>
        <w:t>3</w:t>
      </w:r>
      <w:r w:rsidR="00AD38CF" w:rsidRPr="007F4E9F">
        <w:rPr>
          <w:rFonts w:ascii="Times New Roman" w:hAnsi="Times New Roman" w:cs="Times New Roman"/>
          <w:sz w:val="22"/>
          <w:szCs w:val="22"/>
        </w:rPr>
        <w:fldChar w:fldCharType="end"/>
      </w:r>
      <w:r w:rsidRPr="007F4E9F">
        <w:rPr>
          <w:rFonts w:ascii="Times New Roman" w:hAnsi="Times New Roman" w:cs="Times New Roman"/>
          <w:i/>
          <w:iCs/>
          <w:sz w:val="22"/>
          <w:szCs w:val="22"/>
        </w:rPr>
        <w:t xml:space="preserve"> Distribución por tipo de rol en la plataforma de la muestra recolectada</w:t>
      </w:r>
      <w:bookmarkEnd w:id="63"/>
      <w:bookmarkEnd w:id="64"/>
    </w:p>
    <w:p w14:paraId="1B9E437D" w14:textId="77777777" w:rsidR="00743986" w:rsidRPr="007F4E9F" w:rsidRDefault="00743986" w:rsidP="00743986">
      <w:pPr>
        <w:spacing w:line="240" w:lineRule="auto"/>
        <w:jc w:val="both"/>
        <w:rPr>
          <w:rFonts w:ascii="Times New Roman" w:hAnsi="Times New Roman" w:cs="Times New Roman"/>
        </w:rPr>
      </w:pPr>
      <w:r w:rsidRPr="007F4E9F">
        <w:rPr>
          <w:rFonts w:ascii="Times New Roman" w:hAnsi="Times New Roman" w:cs="Times New Roman"/>
          <w:b/>
          <w:bCs/>
        </w:rPr>
        <w:t>Fuente:</w:t>
      </w:r>
      <w:r w:rsidRPr="007F4E9F">
        <w:rPr>
          <w:rFonts w:ascii="Times New Roman" w:hAnsi="Times New Roman" w:cs="Times New Roman"/>
        </w:rPr>
        <w:t xml:space="preserve"> elaboración propia.</w:t>
      </w:r>
    </w:p>
    <w:p w14:paraId="7A65E6AC" w14:textId="53FEF141" w:rsidR="00FA7DCF" w:rsidRPr="007F4E9F" w:rsidRDefault="00FA7DCF" w:rsidP="0032235A">
      <w:pPr>
        <w:pStyle w:val="Caption"/>
        <w:jc w:val="both"/>
        <w:rPr>
          <w:rFonts w:ascii="Times New Roman" w:hAnsi="Times New Roman" w:cs="Times New Roman"/>
          <w:b w:val="0"/>
          <w:bCs w:val="0"/>
          <w:sz w:val="22"/>
          <w:szCs w:val="22"/>
        </w:rPr>
      </w:pPr>
    </w:p>
    <w:p w14:paraId="7952B7E0" w14:textId="77777777" w:rsidR="00FA7DCF" w:rsidRPr="007F4E9F" w:rsidRDefault="00FA7DCF" w:rsidP="0032235A">
      <w:pPr>
        <w:jc w:val="both"/>
        <w:rPr>
          <w:rFonts w:ascii="Times New Roman" w:hAnsi="Times New Roman" w:cs="Times New Roman"/>
          <w:b/>
          <w:bCs/>
        </w:rPr>
      </w:pPr>
      <w:r w:rsidRPr="007F4E9F">
        <w:rPr>
          <w:rFonts w:ascii="Times New Roman" w:hAnsi="Times New Roman" w:cs="Times New Roman"/>
          <w:b/>
          <w:bCs/>
        </w:rPr>
        <w:t>Análisis de percepción por criterios (Escala Likert)</w:t>
      </w:r>
    </w:p>
    <w:p w14:paraId="75650083" w14:textId="09FBD02D" w:rsidR="00FA7DCF" w:rsidRPr="007F4E9F" w:rsidRDefault="00FA7DCF" w:rsidP="0032235A">
      <w:pPr>
        <w:jc w:val="both"/>
        <w:rPr>
          <w:rFonts w:ascii="Times New Roman" w:hAnsi="Times New Roman" w:cs="Times New Roman"/>
        </w:rPr>
      </w:pPr>
      <w:r w:rsidRPr="007F4E9F">
        <w:rPr>
          <w:rFonts w:ascii="Times New Roman" w:hAnsi="Times New Roman" w:cs="Times New Roman"/>
        </w:rPr>
        <w:t>De acuerdo con los criterios del Comité de Ayuda al Desarrollo (CAD) de la Organización para la Cooperación y el Desarrollo Económicos (OCDE). en la tabla 1 se muestran las preguntas tipo Likert que contestaron los encue</w:t>
      </w:r>
      <w:r w:rsidR="00685230" w:rsidRPr="007F4E9F">
        <w:rPr>
          <w:rFonts w:ascii="Times New Roman" w:hAnsi="Times New Roman" w:cs="Times New Roman"/>
        </w:rPr>
        <w:t>s</w:t>
      </w:r>
      <w:r w:rsidRPr="007F4E9F">
        <w:rPr>
          <w:rFonts w:ascii="Times New Roman" w:hAnsi="Times New Roman" w:cs="Times New Roman"/>
        </w:rPr>
        <w:t>tados, asociado a estos criterios de evaluación. La escala Liker</w:t>
      </w:r>
      <w:r w:rsidR="00685230" w:rsidRPr="007F4E9F">
        <w:rPr>
          <w:rFonts w:ascii="Times New Roman" w:hAnsi="Times New Roman" w:cs="Times New Roman"/>
        </w:rPr>
        <w:t>t</w:t>
      </w:r>
      <w:r w:rsidRPr="007F4E9F">
        <w:rPr>
          <w:rFonts w:ascii="Times New Roman" w:hAnsi="Times New Roman" w:cs="Times New Roman"/>
        </w:rPr>
        <w:t xml:space="preserve"> utilizada fue la siguiente: “Totalmente en desacuerdo.” (1), “En desacuerdo.” (2), “Ni de acuerdo ni en desacuerdo” (3), “De acuerdo” (4) y “Totalmente de acuerdo.” (5).</w:t>
      </w:r>
    </w:p>
    <w:p w14:paraId="6B98549E" w14:textId="10A8812E" w:rsidR="009C0F6F" w:rsidRPr="007F4E9F" w:rsidRDefault="00FA7DCF" w:rsidP="0032235A">
      <w:pPr>
        <w:jc w:val="both"/>
        <w:rPr>
          <w:rFonts w:ascii="Times New Roman" w:hAnsi="Times New Roman" w:cs="Times New Roman"/>
        </w:rPr>
      </w:pPr>
      <w:r w:rsidRPr="007F4E9F">
        <w:rPr>
          <w:rFonts w:ascii="Times New Roman" w:hAnsi="Times New Roman" w:cs="Times New Roman"/>
        </w:rPr>
        <w:t>Pa</w:t>
      </w:r>
      <w:r w:rsidR="000D3811" w:rsidRPr="007F4E9F">
        <w:rPr>
          <w:rFonts w:ascii="Times New Roman" w:hAnsi="Times New Roman" w:cs="Times New Roman"/>
        </w:rPr>
        <w:t>ra evaluar</w:t>
      </w:r>
      <w:r w:rsidRPr="007F4E9F">
        <w:rPr>
          <w:rFonts w:ascii="Times New Roman" w:hAnsi="Times New Roman" w:cs="Times New Roman"/>
        </w:rPr>
        <w:t xml:space="preserve"> la percepción de la pertinencia de la plataforma, </w:t>
      </w:r>
      <w:r w:rsidR="000D3811" w:rsidRPr="007F4E9F">
        <w:rPr>
          <w:rFonts w:ascii="Times New Roman" w:hAnsi="Times New Roman" w:cs="Times New Roman"/>
        </w:rPr>
        <w:t xml:space="preserve">se aplicaron </w:t>
      </w:r>
      <w:r w:rsidR="008D7B96" w:rsidRPr="007F4E9F">
        <w:rPr>
          <w:rFonts w:ascii="Times New Roman" w:hAnsi="Times New Roman" w:cs="Times New Roman"/>
        </w:rPr>
        <w:t xml:space="preserve">3 preguntas así: </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271"/>
        <w:gridCol w:w="7359"/>
      </w:tblGrid>
      <w:tr w:rsidR="008D7B96" w:rsidRPr="007F4E9F" w14:paraId="56A58546" w14:textId="77777777" w:rsidTr="000A3157">
        <w:tc>
          <w:tcPr>
            <w:tcW w:w="1271" w:type="dxa"/>
            <w:vMerge w:val="restart"/>
            <w:vAlign w:val="center"/>
          </w:tcPr>
          <w:p w14:paraId="0910141B" w14:textId="77777777" w:rsidR="008D7B96" w:rsidRPr="007F4E9F" w:rsidRDefault="008D7B96" w:rsidP="0032235A">
            <w:pPr>
              <w:jc w:val="both"/>
              <w:rPr>
                <w:rFonts w:ascii="Times New Roman" w:hAnsi="Times New Roman" w:cs="Times New Roman"/>
              </w:rPr>
            </w:pPr>
            <w:r w:rsidRPr="007F4E9F">
              <w:rPr>
                <w:rFonts w:ascii="Times New Roman" w:hAnsi="Times New Roman" w:cs="Times New Roman"/>
              </w:rPr>
              <w:t>Pertinencia</w:t>
            </w:r>
          </w:p>
        </w:tc>
        <w:tc>
          <w:tcPr>
            <w:tcW w:w="7359" w:type="dxa"/>
            <w:vAlign w:val="center"/>
          </w:tcPr>
          <w:p w14:paraId="483713B3" w14:textId="77777777" w:rsidR="008D7B96" w:rsidRPr="007F4E9F" w:rsidRDefault="008D7B96" w:rsidP="0032235A">
            <w:pPr>
              <w:jc w:val="both"/>
              <w:rPr>
                <w:rFonts w:ascii="Times New Roman" w:hAnsi="Times New Roman" w:cs="Times New Roman"/>
              </w:rPr>
            </w:pPr>
            <w:r w:rsidRPr="007F4E9F">
              <w:rPr>
                <w:rFonts w:ascii="Times New Roman" w:hAnsi="Times New Roman" w:cs="Times New Roman"/>
              </w:rPr>
              <w:t>7. Las funcionalidades del Marketplace resuelven las necesidades reales de mi empresa para la gestión de materiales, y la provisión de bienes y servicios circulares.</w:t>
            </w:r>
          </w:p>
          <w:p w14:paraId="48E00ED3" w14:textId="2ECB4C33" w:rsidR="00C4641E" w:rsidRPr="007F4E9F" w:rsidRDefault="00C4641E" w:rsidP="0032235A">
            <w:pPr>
              <w:jc w:val="both"/>
              <w:rPr>
                <w:rFonts w:ascii="Times New Roman" w:hAnsi="Times New Roman" w:cs="Times New Roman"/>
              </w:rPr>
            </w:pPr>
          </w:p>
        </w:tc>
      </w:tr>
      <w:tr w:rsidR="008D7B96" w:rsidRPr="007F4E9F" w14:paraId="22EAEB1F" w14:textId="77777777" w:rsidTr="000A3157">
        <w:tc>
          <w:tcPr>
            <w:tcW w:w="1271" w:type="dxa"/>
            <w:vMerge/>
            <w:vAlign w:val="center"/>
          </w:tcPr>
          <w:p w14:paraId="26F6B95B" w14:textId="77777777" w:rsidR="008D7B96" w:rsidRPr="007F4E9F" w:rsidRDefault="008D7B96" w:rsidP="0032235A">
            <w:pPr>
              <w:jc w:val="both"/>
              <w:rPr>
                <w:rFonts w:ascii="Times New Roman" w:hAnsi="Times New Roman" w:cs="Times New Roman"/>
              </w:rPr>
            </w:pPr>
          </w:p>
        </w:tc>
        <w:tc>
          <w:tcPr>
            <w:tcW w:w="7359" w:type="dxa"/>
            <w:vAlign w:val="center"/>
          </w:tcPr>
          <w:p w14:paraId="6336D668" w14:textId="77777777" w:rsidR="008D7B96" w:rsidRPr="007F4E9F" w:rsidRDefault="008D7B96" w:rsidP="0032235A">
            <w:pPr>
              <w:jc w:val="both"/>
              <w:rPr>
                <w:rFonts w:ascii="Times New Roman" w:hAnsi="Times New Roman" w:cs="Times New Roman"/>
              </w:rPr>
            </w:pPr>
            <w:r w:rsidRPr="007F4E9F">
              <w:rPr>
                <w:rFonts w:ascii="Times New Roman" w:hAnsi="Times New Roman" w:cs="Times New Roman"/>
              </w:rPr>
              <w:t>8. Al ingresar a la plataforma con el interés de comprar o contactar a una empresa, podía ver de manera rápida y sencilla el detalle de los productos ofertados.</w:t>
            </w:r>
          </w:p>
          <w:p w14:paraId="62319340" w14:textId="03FB8556" w:rsidR="00C4641E" w:rsidRPr="007F4E9F" w:rsidRDefault="00C4641E" w:rsidP="0032235A">
            <w:pPr>
              <w:jc w:val="both"/>
              <w:rPr>
                <w:rFonts w:ascii="Times New Roman" w:hAnsi="Times New Roman" w:cs="Times New Roman"/>
              </w:rPr>
            </w:pPr>
          </w:p>
        </w:tc>
      </w:tr>
      <w:tr w:rsidR="008D7B96" w:rsidRPr="007F4E9F" w14:paraId="7241FF8D" w14:textId="77777777" w:rsidTr="000A3157">
        <w:tc>
          <w:tcPr>
            <w:tcW w:w="1271" w:type="dxa"/>
            <w:vMerge/>
            <w:vAlign w:val="center"/>
          </w:tcPr>
          <w:p w14:paraId="294ADB2E" w14:textId="77777777" w:rsidR="008D7B96" w:rsidRPr="007F4E9F" w:rsidRDefault="008D7B96" w:rsidP="0032235A">
            <w:pPr>
              <w:jc w:val="both"/>
              <w:rPr>
                <w:rFonts w:ascii="Times New Roman" w:hAnsi="Times New Roman" w:cs="Times New Roman"/>
              </w:rPr>
            </w:pPr>
          </w:p>
        </w:tc>
        <w:tc>
          <w:tcPr>
            <w:tcW w:w="7359" w:type="dxa"/>
            <w:vAlign w:val="center"/>
          </w:tcPr>
          <w:p w14:paraId="37C74229" w14:textId="77777777" w:rsidR="008D7B96" w:rsidRPr="007F4E9F" w:rsidRDefault="008D7B96" w:rsidP="0032235A">
            <w:pPr>
              <w:jc w:val="both"/>
              <w:rPr>
                <w:rFonts w:ascii="Times New Roman" w:hAnsi="Times New Roman" w:cs="Times New Roman"/>
              </w:rPr>
            </w:pPr>
            <w:r w:rsidRPr="007F4E9F">
              <w:rPr>
                <w:rFonts w:ascii="Times New Roman" w:hAnsi="Times New Roman" w:cs="Times New Roman"/>
              </w:rPr>
              <w:t>9. La información que arroja la plataforma es útil para los reportes de sostenibilidad o las metas de circularidad de mi empresa.</w:t>
            </w:r>
          </w:p>
        </w:tc>
      </w:tr>
    </w:tbl>
    <w:p w14:paraId="7CE1979A" w14:textId="50165EAE" w:rsidR="008D7B96" w:rsidRPr="007F4E9F" w:rsidRDefault="008D7B96" w:rsidP="0032235A">
      <w:pPr>
        <w:jc w:val="both"/>
        <w:rPr>
          <w:rFonts w:ascii="Times New Roman" w:hAnsi="Times New Roman" w:cs="Times New Roman"/>
        </w:rPr>
      </w:pPr>
    </w:p>
    <w:p w14:paraId="46D9D475" w14:textId="77777777" w:rsidR="007C64A2" w:rsidRPr="007F4E9F" w:rsidRDefault="007C64A2" w:rsidP="007C64A2">
      <w:pPr>
        <w:spacing w:line="240" w:lineRule="auto"/>
        <w:jc w:val="both"/>
        <w:rPr>
          <w:rFonts w:ascii="Times New Roman" w:hAnsi="Times New Roman" w:cs="Times New Roman"/>
        </w:rPr>
      </w:pPr>
      <w:r w:rsidRPr="007F4E9F">
        <w:rPr>
          <w:rFonts w:ascii="Times New Roman" w:hAnsi="Times New Roman" w:cs="Times New Roman"/>
        </w:rPr>
        <w:t>El análisis desde la perspectiva de las empresas usuarias revela una brecha importante entre la funcionalidad del sistema entregado y las necesidades reales del sector privado. A pesar del interés general en la economía circular, 11 de 21 encuestados señala que las funcionalidades actuales de la plataforma no resuelven sus necesidades operativas de gestión de materiales (Pregunta 7). Esta insatisfacción está estrechamente ligada a barreras de interacción tempranas; por ejemplo, la exigencia de un registro obligatorio limita la visualización rápida y sencilla de los catálogos de productos ofertados, lo cual representa un obstáculo que afecta la satisfacción general (pregunta 8). Asimismo, la información y los datos que arroja el sistema no son percibidos como útiles para alimentar los reportes corporativos de sostenibilidad, restándole pertinencia a la herramienta como un instrumento de medición integral para las empresas (pregunta 9).</w:t>
      </w:r>
    </w:p>
    <w:p w14:paraId="2DB8794D" w14:textId="77777777" w:rsidR="007C64A2" w:rsidRPr="007F4E9F" w:rsidRDefault="007C64A2" w:rsidP="007C64A2">
      <w:pPr>
        <w:keepNext/>
        <w:spacing w:line="240" w:lineRule="auto"/>
        <w:jc w:val="both"/>
        <w:rPr>
          <w:rFonts w:ascii="Times New Roman" w:hAnsi="Times New Roman"/>
        </w:rPr>
      </w:pPr>
      <w:r w:rsidRPr="007F4E9F">
        <w:rPr>
          <w:rFonts w:ascii="Times New Roman" w:hAnsi="Times New Roman"/>
          <w:noProof/>
        </w:rPr>
        <w:drawing>
          <wp:inline distT="0" distB="0" distL="0" distR="0" wp14:anchorId="776FF05F" wp14:editId="1C6553FD">
            <wp:extent cx="4023995" cy="2987040"/>
            <wp:effectExtent l="0" t="0" r="0" b="3810"/>
            <wp:docPr id="189110959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23995" cy="2987040"/>
                    </a:xfrm>
                    <a:prstGeom prst="rect">
                      <a:avLst/>
                    </a:prstGeom>
                    <a:noFill/>
                  </pic:spPr>
                </pic:pic>
              </a:graphicData>
            </a:graphic>
          </wp:inline>
        </w:drawing>
      </w:r>
    </w:p>
    <w:p w14:paraId="19124EED" w14:textId="62BEBA84" w:rsidR="007C64A2" w:rsidRPr="007F4E9F" w:rsidRDefault="007C64A2" w:rsidP="007C64A2">
      <w:pPr>
        <w:pStyle w:val="Caption"/>
        <w:jc w:val="both"/>
        <w:rPr>
          <w:rFonts w:ascii="Times New Roman" w:hAnsi="Times New Roman"/>
          <w:i/>
          <w:iCs/>
          <w:sz w:val="22"/>
        </w:rPr>
      </w:pPr>
      <w:bookmarkStart w:id="65" w:name="_Toc225500112"/>
      <w:bookmarkStart w:id="66" w:name="_Toc225848244"/>
      <w:r w:rsidRPr="007F4E9F">
        <w:rPr>
          <w:rFonts w:ascii="Times New Roman" w:hAnsi="Times New Roman"/>
          <w:sz w:val="22"/>
        </w:rPr>
        <w:t xml:space="preserve">Figura </w:t>
      </w:r>
      <w:r w:rsidR="00AD38CF" w:rsidRPr="007F4E9F">
        <w:rPr>
          <w:rFonts w:ascii="Times New Roman" w:hAnsi="Times New Roman"/>
          <w:sz w:val="22"/>
        </w:rPr>
        <w:fldChar w:fldCharType="begin"/>
      </w:r>
      <w:r w:rsidR="00AD38CF" w:rsidRPr="007F4E9F">
        <w:rPr>
          <w:rFonts w:ascii="Times New Roman" w:hAnsi="Times New Roman"/>
          <w:sz w:val="22"/>
        </w:rPr>
        <w:instrText xml:space="preserve"> SEQ Figura \* ARABIC </w:instrText>
      </w:r>
      <w:r w:rsidR="00AD38CF" w:rsidRPr="007F4E9F">
        <w:rPr>
          <w:rFonts w:ascii="Times New Roman" w:hAnsi="Times New Roman"/>
          <w:sz w:val="22"/>
        </w:rPr>
        <w:fldChar w:fldCharType="separate"/>
      </w:r>
      <w:r w:rsidR="00966267" w:rsidRPr="007F4E9F">
        <w:rPr>
          <w:rFonts w:ascii="Times New Roman" w:hAnsi="Times New Roman"/>
          <w:noProof/>
          <w:sz w:val="22"/>
        </w:rPr>
        <w:t>4</w:t>
      </w:r>
      <w:r w:rsidR="00AD38CF" w:rsidRPr="007F4E9F">
        <w:rPr>
          <w:rFonts w:ascii="Times New Roman" w:hAnsi="Times New Roman"/>
          <w:sz w:val="22"/>
        </w:rPr>
        <w:fldChar w:fldCharType="end"/>
      </w:r>
      <w:r w:rsidRPr="007F4E9F">
        <w:rPr>
          <w:rFonts w:ascii="Times New Roman" w:hAnsi="Times New Roman"/>
          <w:sz w:val="22"/>
        </w:rPr>
        <w:t xml:space="preserve"> </w:t>
      </w:r>
      <w:r w:rsidRPr="007F4E9F">
        <w:rPr>
          <w:rFonts w:ascii="Times New Roman" w:hAnsi="Times New Roman"/>
          <w:i/>
          <w:iCs/>
          <w:sz w:val="22"/>
        </w:rPr>
        <w:t>Percepción de los beneficiarios frente a la Pertinencia</w:t>
      </w:r>
      <w:bookmarkEnd w:id="65"/>
      <w:bookmarkEnd w:id="66"/>
    </w:p>
    <w:p w14:paraId="6E6A864E" w14:textId="77777777" w:rsidR="007C64A2" w:rsidRPr="007F4E9F" w:rsidRDefault="007C64A2" w:rsidP="007C64A2">
      <w:pPr>
        <w:spacing w:line="240" w:lineRule="auto"/>
        <w:jc w:val="both"/>
        <w:rPr>
          <w:rFonts w:ascii="Times New Roman" w:hAnsi="Times New Roman" w:cs="Times New Roman"/>
        </w:rPr>
      </w:pPr>
      <w:r w:rsidRPr="007F4E9F">
        <w:rPr>
          <w:rFonts w:ascii="Times New Roman" w:hAnsi="Times New Roman" w:cs="Times New Roman"/>
          <w:b/>
          <w:bCs/>
        </w:rPr>
        <w:t>Fuente:</w:t>
      </w:r>
      <w:r w:rsidRPr="007F4E9F">
        <w:rPr>
          <w:rFonts w:ascii="Times New Roman" w:hAnsi="Times New Roman" w:cs="Times New Roman"/>
        </w:rPr>
        <w:t xml:space="preserve"> elaboración propia.</w:t>
      </w:r>
    </w:p>
    <w:bookmarkEnd w:id="39"/>
    <w:p w14:paraId="145A9544" w14:textId="77777777" w:rsidR="00EF2F17" w:rsidRPr="007F4E9F" w:rsidRDefault="00EF2F17" w:rsidP="0032235A">
      <w:pPr>
        <w:jc w:val="both"/>
        <w:rPr>
          <w:rFonts w:ascii="Times New Roman" w:hAnsi="Times New Roman" w:cs="Times New Roman"/>
        </w:rPr>
      </w:pPr>
    </w:p>
    <w:p w14:paraId="3740432F" w14:textId="578E1C75" w:rsidR="002268B1" w:rsidRPr="007F4E9F" w:rsidRDefault="002268B1" w:rsidP="0032235A">
      <w:pPr>
        <w:pStyle w:val="Heading3"/>
        <w:jc w:val="both"/>
        <w:rPr>
          <w:rFonts w:ascii="Times New Roman" w:hAnsi="Times New Roman"/>
        </w:rPr>
      </w:pPr>
      <w:bookmarkStart w:id="67" w:name="_Toc226750197"/>
      <w:r w:rsidRPr="007F4E9F">
        <w:rPr>
          <w:rFonts w:ascii="Times New Roman" w:hAnsi="Times New Roman"/>
        </w:rPr>
        <w:t>Coherencia</w:t>
      </w:r>
      <w:bookmarkEnd w:id="67"/>
      <w:r w:rsidR="008D7B96" w:rsidRPr="007F4E9F">
        <w:rPr>
          <w:rFonts w:ascii="Times New Roman" w:hAnsi="Times New Roman"/>
        </w:rPr>
        <w:t xml:space="preserve"> </w:t>
      </w:r>
    </w:p>
    <w:p w14:paraId="375E3BD7" w14:textId="691EB53A" w:rsidR="002268B1" w:rsidRPr="007F4E9F" w:rsidRDefault="002268B1" w:rsidP="0032235A">
      <w:pPr>
        <w:jc w:val="both"/>
        <w:rPr>
          <w:rFonts w:ascii="Times New Roman" w:hAnsi="Times New Roman" w:cs="Times New Roman"/>
        </w:rPr>
      </w:pPr>
      <w:r w:rsidRPr="007F4E9F">
        <w:rPr>
          <w:rFonts w:ascii="Times New Roman" w:hAnsi="Times New Roman" w:cs="Times New Roman"/>
        </w:rPr>
        <w:t xml:space="preserve">La evaluación de la coherencia tiene el propósito de avaluar si la intervención fue consistente y estuvo alineada con otras iniciativas similares y políticas de cada ciudad. </w:t>
      </w:r>
      <w:r w:rsidR="00EF2F17" w:rsidRPr="007F4E9F">
        <w:rPr>
          <w:rFonts w:ascii="Times New Roman" w:hAnsi="Times New Roman" w:cs="Times New Roman"/>
        </w:rPr>
        <w:t xml:space="preserve">Corresponde al </w:t>
      </w:r>
      <w:r w:rsidR="00EF2F17" w:rsidRPr="007F4E9F">
        <w:rPr>
          <w:rFonts w:ascii="Times New Roman" w:hAnsi="Times New Roman" w:cs="Times New Roman"/>
          <w:b/>
          <w:bCs/>
        </w:rPr>
        <w:t>Análisis preliminar de la coherencia interna y externa del proyecto (alineaciones políticas, programas y prioridades regionales)</w:t>
      </w:r>
      <w:r w:rsidR="00EF2F17" w:rsidRPr="007F4E9F">
        <w:rPr>
          <w:rFonts w:ascii="Times New Roman" w:hAnsi="Times New Roman" w:cs="Times New Roman"/>
        </w:rPr>
        <w:t xml:space="preserve">. </w:t>
      </w:r>
      <w:r w:rsidRPr="007F4E9F">
        <w:rPr>
          <w:rFonts w:ascii="Times New Roman" w:hAnsi="Times New Roman" w:cs="Times New Roman"/>
        </w:rPr>
        <w:t xml:space="preserve">De acuerdo con la tabla 1, para la coherencia se verificaron dos alcances para cada componente: </w:t>
      </w:r>
    </w:p>
    <w:p w14:paraId="352A71CF" w14:textId="77777777" w:rsidR="002268B1" w:rsidRPr="007F4E9F" w:rsidRDefault="002268B1" w:rsidP="005C3660">
      <w:pPr>
        <w:pStyle w:val="ListParagraph"/>
        <w:numPr>
          <w:ilvl w:val="0"/>
          <w:numId w:val="11"/>
        </w:numPr>
        <w:jc w:val="both"/>
        <w:rPr>
          <w:rFonts w:ascii="Times New Roman" w:hAnsi="Times New Roman" w:cs="Times New Roman"/>
        </w:rPr>
      </w:pPr>
      <w:r w:rsidRPr="007F4E9F">
        <w:rPr>
          <w:rFonts w:ascii="Times New Roman" w:hAnsi="Times New Roman" w:cs="Times New Roman"/>
        </w:rPr>
        <w:t>La evaluación del alineamiento entre los objetivos, actividades, productos y resultados y</w:t>
      </w:r>
    </w:p>
    <w:p w14:paraId="385CEFB6" w14:textId="77777777" w:rsidR="002268B1" w:rsidRPr="007F4E9F" w:rsidRDefault="002268B1" w:rsidP="005C3660">
      <w:pPr>
        <w:pStyle w:val="ListParagraph"/>
        <w:numPr>
          <w:ilvl w:val="0"/>
          <w:numId w:val="10"/>
        </w:numPr>
        <w:jc w:val="both"/>
        <w:rPr>
          <w:rFonts w:ascii="Times New Roman" w:hAnsi="Times New Roman" w:cs="Times New Roman"/>
        </w:rPr>
      </w:pPr>
      <w:r w:rsidRPr="007F4E9F">
        <w:rPr>
          <w:rFonts w:ascii="Times New Roman" w:hAnsi="Times New Roman" w:cs="Times New Roman"/>
        </w:rPr>
        <w:t>Articulación entre los componentes y actores institucionales.</w:t>
      </w:r>
    </w:p>
    <w:p w14:paraId="6064E6F7" w14:textId="77777777" w:rsidR="002268B1" w:rsidRPr="007F4E9F" w:rsidRDefault="002268B1" w:rsidP="0032235A">
      <w:pPr>
        <w:pStyle w:val="Heading4"/>
        <w:jc w:val="both"/>
        <w:rPr>
          <w:rFonts w:ascii="Times New Roman" w:hAnsi="Times New Roman"/>
        </w:rPr>
      </w:pPr>
      <w:bookmarkStart w:id="68" w:name="_Toc226750198"/>
      <w:r w:rsidRPr="007F4E9F">
        <w:rPr>
          <w:rFonts w:ascii="Times New Roman" w:hAnsi="Times New Roman"/>
        </w:rPr>
        <w:t>Evaluación del alineamiento entre los objetivos, actividades, productos y resultados</w:t>
      </w:r>
      <w:bookmarkEnd w:id="68"/>
    </w:p>
    <w:p w14:paraId="2E3F01BB" w14:textId="77777777" w:rsidR="002268B1" w:rsidRPr="007F4E9F" w:rsidRDefault="002268B1" w:rsidP="0032235A">
      <w:pPr>
        <w:jc w:val="both"/>
        <w:rPr>
          <w:rFonts w:ascii="Times New Roman" w:hAnsi="Times New Roman" w:cs="Times New Roman"/>
          <w:color w:val="000000"/>
        </w:rPr>
      </w:pPr>
      <w:r w:rsidRPr="007F4E9F">
        <w:rPr>
          <w:rFonts w:ascii="Times New Roman" w:hAnsi="Times New Roman" w:cs="Times New Roman"/>
        </w:rPr>
        <w:t xml:space="preserve">Tal y como citaba en el criterio de pertinencia, se verifica la entrega y funcionalidad de los dos productos solicitados en este componente así: </w:t>
      </w:r>
      <w:r w:rsidRPr="007F4E9F">
        <w:rPr>
          <w:rFonts w:ascii="Times New Roman" w:hAnsi="Times New Roman" w:cs="Times New Roman"/>
          <w:color w:val="000000"/>
        </w:rPr>
        <w:t xml:space="preserve">(a) una plataforma digital de alcance regional. Esta permitirá articular la demanda y la oferta de insumos reutilizables entre empresas locales y regionales. Buscará fortalecer los mercados al interior de las ciudades e integrar un mercado común entre las cuatro ciudades participantes, y las que se sumen a futuro; y (b) un sistema de indicadores para evaluar los procesos en economía circular producto de la plataforma. </w:t>
      </w:r>
    </w:p>
    <w:p w14:paraId="423241F1" w14:textId="7D6FB5F7" w:rsidR="002268B1" w:rsidRPr="007F4E9F" w:rsidRDefault="002268B1" w:rsidP="0032235A">
      <w:pPr>
        <w:pStyle w:val="Default"/>
        <w:jc w:val="both"/>
        <w:rPr>
          <w:rFonts w:ascii="Times New Roman" w:hAnsi="Times New Roman" w:cs="Times New Roman"/>
          <w:color w:val="auto"/>
          <w:sz w:val="22"/>
          <w:szCs w:val="22"/>
          <w:lang w:val="es-CO"/>
        </w:rPr>
      </w:pPr>
      <w:r w:rsidRPr="007F4E9F">
        <w:rPr>
          <w:rFonts w:ascii="Times New Roman" w:hAnsi="Times New Roman" w:cs="Times New Roman"/>
          <w:color w:val="auto"/>
          <w:sz w:val="22"/>
          <w:szCs w:val="22"/>
          <w:lang w:val="es-CO"/>
        </w:rPr>
        <w:t xml:space="preserve">La alineación entre los objetivos, actividades, productos y resultados específicos del componente se realizó contrastando los objetivos del convenio con las actividades, productos y resultados obtenidos en la consultoría contratada para este componente con la empresa </w:t>
      </w:r>
      <w:r w:rsidRPr="007F4E9F">
        <w:rPr>
          <w:rFonts w:ascii="Times New Roman" w:hAnsi="Times New Roman" w:cs="Times New Roman"/>
          <w:i/>
          <w:iCs/>
          <w:color w:val="auto"/>
          <w:sz w:val="22"/>
          <w:szCs w:val="22"/>
          <w:lang w:val="es-CO"/>
        </w:rPr>
        <w:t xml:space="preserve">ADA </w:t>
      </w:r>
      <w:r w:rsidR="006446A1" w:rsidRPr="007F4E9F">
        <w:rPr>
          <w:rFonts w:ascii="Times New Roman" w:hAnsi="Times New Roman" w:cs="Times New Roman"/>
          <w:i/>
          <w:iCs/>
          <w:color w:val="auto"/>
          <w:sz w:val="22"/>
          <w:szCs w:val="22"/>
          <w:lang w:val="es-CO"/>
        </w:rPr>
        <w:t>shared s</w:t>
      </w:r>
      <w:r w:rsidRPr="007F4E9F">
        <w:rPr>
          <w:rFonts w:ascii="Times New Roman" w:hAnsi="Times New Roman" w:cs="Times New Roman"/>
          <w:i/>
          <w:iCs/>
          <w:color w:val="auto"/>
          <w:sz w:val="22"/>
          <w:szCs w:val="22"/>
          <w:lang w:val="es-CO"/>
        </w:rPr>
        <w:t xml:space="preserve">ervices </w:t>
      </w:r>
      <w:r w:rsidR="006446A1" w:rsidRPr="007F4E9F">
        <w:rPr>
          <w:rFonts w:ascii="Times New Roman" w:hAnsi="Times New Roman" w:cs="Times New Roman"/>
          <w:i/>
          <w:iCs/>
          <w:color w:val="auto"/>
          <w:sz w:val="22"/>
          <w:szCs w:val="22"/>
          <w:lang w:val="es-CO"/>
        </w:rPr>
        <w:t>s</w:t>
      </w:r>
      <w:r w:rsidRPr="007F4E9F">
        <w:rPr>
          <w:rFonts w:ascii="Times New Roman" w:hAnsi="Times New Roman" w:cs="Times New Roman"/>
          <w:i/>
          <w:iCs/>
          <w:color w:val="auto"/>
          <w:sz w:val="22"/>
          <w:szCs w:val="22"/>
          <w:lang w:val="es-CO"/>
        </w:rPr>
        <w:t>olutions</w:t>
      </w:r>
      <w:r w:rsidRPr="007F4E9F">
        <w:rPr>
          <w:rFonts w:ascii="Times New Roman" w:hAnsi="Times New Roman" w:cs="Times New Roman"/>
          <w:color w:val="auto"/>
          <w:sz w:val="22"/>
          <w:szCs w:val="22"/>
          <w:lang w:val="es-CO"/>
        </w:rPr>
        <w:t xml:space="preserve"> bajo el contrato No. SDA-20231661.  La tabla 8 hace un recuento de las actividades y resultados de la consultoría. </w:t>
      </w:r>
    </w:p>
    <w:p w14:paraId="46BB1B7B" w14:textId="77777777" w:rsidR="00B125BE" w:rsidRPr="007F4E9F" w:rsidRDefault="00B125BE" w:rsidP="0032235A">
      <w:pPr>
        <w:jc w:val="both"/>
        <w:rPr>
          <w:rFonts w:ascii="Times New Roman" w:eastAsia="Times New Roman" w:hAnsi="Times New Roman" w:cs="Times New Roman"/>
        </w:rPr>
      </w:pPr>
    </w:p>
    <w:p w14:paraId="54D8FCCA" w14:textId="4CBE10AC"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 xml:space="preserve">A manera de resumen, se consolida la evaluación de cumplimiento del </w:t>
      </w:r>
      <w:r w:rsidR="003E2785" w:rsidRPr="007F4E9F">
        <w:rPr>
          <w:rFonts w:ascii="Times New Roman" w:eastAsia="Times New Roman" w:hAnsi="Times New Roman" w:cs="Times New Roman"/>
        </w:rPr>
        <w:t>componente</w:t>
      </w:r>
      <w:r w:rsidRPr="007F4E9F">
        <w:rPr>
          <w:rFonts w:ascii="Times New Roman" w:eastAsia="Times New Roman" w:hAnsi="Times New Roman" w:cs="Times New Roman"/>
        </w:rPr>
        <w:t xml:space="preserve"> 1 del contrato, correspondiente al desarrollo del Marketplace de Economía Circular, y se encuentra alineado explícitamente con los Términos de Referencia (TdR). La evaluación se realiza entregable por entregable, contrastando el producto comprometido con la evidencia presentada y señalando los resultados alcanzados en los productos presentados.</w:t>
      </w:r>
    </w:p>
    <w:p w14:paraId="2366B976" w14:textId="658672B8" w:rsidR="002268B1" w:rsidRPr="007F4E9F" w:rsidRDefault="002268B1" w:rsidP="0032235A">
      <w:pPr>
        <w:pStyle w:val="Caption"/>
        <w:keepNext/>
        <w:jc w:val="both"/>
        <w:rPr>
          <w:rFonts w:ascii="Times New Roman" w:hAnsi="Times New Roman" w:cs="Times New Roman"/>
          <w:sz w:val="22"/>
          <w:szCs w:val="22"/>
        </w:rPr>
      </w:pPr>
      <w:bookmarkStart w:id="69" w:name="_Toc225848234"/>
      <w:r w:rsidRPr="007F4E9F">
        <w:rPr>
          <w:rFonts w:ascii="Times New Roman" w:hAnsi="Times New Roman" w:cs="Times New Roman"/>
          <w:sz w:val="22"/>
          <w:szCs w:val="22"/>
        </w:rPr>
        <w:t xml:space="preserve">Tabla </w:t>
      </w:r>
      <w:r w:rsidRPr="007F4E9F">
        <w:rPr>
          <w:rFonts w:ascii="Times New Roman" w:hAnsi="Times New Roman" w:cs="Times New Roman"/>
          <w:sz w:val="22"/>
          <w:szCs w:val="22"/>
        </w:rPr>
        <w:fldChar w:fldCharType="begin"/>
      </w:r>
      <w:r w:rsidRPr="007F4E9F">
        <w:rPr>
          <w:rFonts w:ascii="Times New Roman" w:hAnsi="Times New Roman" w:cs="Times New Roman"/>
          <w:sz w:val="22"/>
          <w:szCs w:val="22"/>
        </w:rPr>
        <w:instrText xml:space="preserve"> SEQ Tabla \* ARABIC </w:instrText>
      </w:r>
      <w:r w:rsidRPr="007F4E9F">
        <w:rPr>
          <w:rFonts w:ascii="Times New Roman" w:hAnsi="Times New Roman" w:cs="Times New Roman"/>
          <w:sz w:val="22"/>
          <w:szCs w:val="22"/>
        </w:rPr>
        <w:fldChar w:fldCharType="separate"/>
      </w:r>
      <w:r w:rsidR="00CB1A80" w:rsidRPr="007F4E9F">
        <w:rPr>
          <w:rFonts w:ascii="Times New Roman" w:hAnsi="Times New Roman" w:cs="Times New Roman"/>
          <w:noProof/>
          <w:sz w:val="22"/>
          <w:szCs w:val="22"/>
        </w:rPr>
        <w:t>8</w:t>
      </w:r>
      <w:r w:rsidRPr="007F4E9F">
        <w:rPr>
          <w:rFonts w:ascii="Times New Roman" w:hAnsi="Times New Roman" w:cs="Times New Roman"/>
          <w:sz w:val="22"/>
          <w:szCs w:val="22"/>
        </w:rPr>
        <w:fldChar w:fldCharType="end"/>
      </w:r>
      <w:r w:rsidRPr="007F4E9F">
        <w:rPr>
          <w:rFonts w:ascii="Times New Roman" w:hAnsi="Times New Roman" w:cs="Times New Roman"/>
          <w:sz w:val="22"/>
          <w:szCs w:val="22"/>
        </w:rPr>
        <w:t xml:space="preserve"> </w:t>
      </w:r>
      <w:r w:rsidRPr="007F4E9F">
        <w:rPr>
          <w:rFonts w:ascii="Times New Roman" w:hAnsi="Times New Roman" w:cs="Times New Roman"/>
          <w:i/>
          <w:iCs/>
          <w:sz w:val="22"/>
          <w:szCs w:val="22"/>
        </w:rPr>
        <w:t xml:space="preserve">Actividades y productos </w:t>
      </w:r>
      <w:r w:rsidR="00D92EFF" w:rsidRPr="007F4E9F">
        <w:rPr>
          <w:rFonts w:ascii="Times New Roman" w:hAnsi="Times New Roman" w:cs="Times New Roman"/>
          <w:i/>
          <w:iCs/>
          <w:sz w:val="22"/>
          <w:szCs w:val="22"/>
        </w:rPr>
        <w:t>consultoría</w:t>
      </w:r>
      <w:r w:rsidRPr="007F4E9F">
        <w:rPr>
          <w:rFonts w:ascii="Times New Roman" w:hAnsi="Times New Roman" w:cs="Times New Roman"/>
          <w:i/>
          <w:iCs/>
          <w:sz w:val="22"/>
          <w:szCs w:val="22"/>
        </w:rPr>
        <w:t xml:space="preserve"> componente 1</w:t>
      </w:r>
      <w:bookmarkEnd w:id="6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271"/>
        <w:gridCol w:w="2126"/>
        <w:gridCol w:w="2680"/>
        <w:gridCol w:w="2553"/>
      </w:tblGrid>
      <w:tr w:rsidR="002268B1" w:rsidRPr="007F4E9F" w14:paraId="1EC9FD13" w14:textId="77777777" w:rsidTr="007B3E56">
        <w:tc>
          <w:tcPr>
            <w:tcW w:w="736" w:type="pct"/>
            <w:vAlign w:val="center"/>
          </w:tcPr>
          <w:p w14:paraId="36E5A2CF" w14:textId="77777777" w:rsidR="002268B1" w:rsidRPr="007F4E9F" w:rsidRDefault="002268B1" w:rsidP="0032235A">
            <w:pPr>
              <w:jc w:val="both"/>
              <w:rPr>
                <w:rFonts w:ascii="Times New Roman" w:eastAsia="Times New Roman" w:hAnsi="Times New Roman" w:cs="Times New Roman"/>
                <w:b/>
                <w:bCs/>
              </w:rPr>
            </w:pPr>
            <w:r w:rsidRPr="007F4E9F">
              <w:rPr>
                <w:rFonts w:ascii="Times New Roman" w:eastAsia="Times New Roman" w:hAnsi="Times New Roman" w:cs="Times New Roman"/>
                <w:b/>
                <w:bCs/>
              </w:rPr>
              <w:t>Entregable</w:t>
            </w:r>
          </w:p>
        </w:tc>
        <w:tc>
          <w:tcPr>
            <w:tcW w:w="1232" w:type="pct"/>
            <w:vAlign w:val="center"/>
          </w:tcPr>
          <w:p w14:paraId="22A3A8DB" w14:textId="77777777" w:rsidR="002268B1" w:rsidRPr="007F4E9F" w:rsidRDefault="002268B1" w:rsidP="0032235A">
            <w:pPr>
              <w:jc w:val="both"/>
              <w:rPr>
                <w:rFonts w:ascii="Times New Roman" w:eastAsia="Times New Roman" w:hAnsi="Times New Roman" w:cs="Times New Roman"/>
                <w:b/>
                <w:bCs/>
              </w:rPr>
            </w:pPr>
            <w:r w:rsidRPr="007F4E9F">
              <w:rPr>
                <w:rFonts w:ascii="Times New Roman" w:eastAsia="Times New Roman" w:hAnsi="Times New Roman" w:cs="Times New Roman"/>
                <w:b/>
                <w:bCs/>
              </w:rPr>
              <w:t>Actividad según TdR</w:t>
            </w:r>
          </w:p>
        </w:tc>
        <w:tc>
          <w:tcPr>
            <w:tcW w:w="1553" w:type="pct"/>
            <w:vAlign w:val="center"/>
          </w:tcPr>
          <w:p w14:paraId="7B91A23C" w14:textId="77777777" w:rsidR="002268B1" w:rsidRPr="007F4E9F" w:rsidRDefault="002268B1" w:rsidP="0032235A">
            <w:pPr>
              <w:jc w:val="both"/>
              <w:rPr>
                <w:rFonts w:ascii="Times New Roman" w:eastAsia="Times New Roman" w:hAnsi="Times New Roman" w:cs="Times New Roman"/>
                <w:b/>
                <w:bCs/>
              </w:rPr>
            </w:pPr>
            <w:r w:rsidRPr="007F4E9F">
              <w:rPr>
                <w:rFonts w:ascii="Times New Roman" w:eastAsia="Times New Roman" w:hAnsi="Times New Roman" w:cs="Times New Roman"/>
                <w:b/>
                <w:bCs/>
              </w:rPr>
              <w:t>Producto comprometido y entregado</w:t>
            </w:r>
          </w:p>
        </w:tc>
        <w:tc>
          <w:tcPr>
            <w:tcW w:w="1479" w:type="pct"/>
            <w:vAlign w:val="center"/>
          </w:tcPr>
          <w:p w14:paraId="1D09DF58" w14:textId="77777777" w:rsidR="002268B1" w:rsidRPr="007F4E9F" w:rsidRDefault="002268B1" w:rsidP="0032235A">
            <w:pPr>
              <w:jc w:val="both"/>
              <w:rPr>
                <w:rFonts w:ascii="Times New Roman" w:eastAsia="Times New Roman" w:hAnsi="Times New Roman" w:cs="Times New Roman"/>
                <w:b/>
                <w:bCs/>
              </w:rPr>
            </w:pPr>
            <w:r w:rsidRPr="007F4E9F">
              <w:rPr>
                <w:rFonts w:ascii="Times New Roman" w:eastAsia="Times New Roman" w:hAnsi="Times New Roman" w:cs="Times New Roman"/>
                <w:b/>
                <w:bCs/>
              </w:rPr>
              <w:t>Observaciones alineadas a TdR</w:t>
            </w:r>
          </w:p>
        </w:tc>
      </w:tr>
      <w:tr w:rsidR="002268B1" w:rsidRPr="007F4E9F" w14:paraId="1FA0F24B" w14:textId="77777777" w:rsidTr="007B3E56">
        <w:tc>
          <w:tcPr>
            <w:tcW w:w="736" w:type="pct"/>
            <w:vAlign w:val="center"/>
          </w:tcPr>
          <w:p w14:paraId="45FE8E08"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1</w:t>
            </w:r>
          </w:p>
        </w:tc>
        <w:tc>
          <w:tcPr>
            <w:tcW w:w="1232" w:type="pct"/>
            <w:vAlign w:val="center"/>
          </w:tcPr>
          <w:p w14:paraId="519B915C"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Identificación y priorización de sectores económicos por ciudad</w:t>
            </w:r>
          </w:p>
        </w:tc>
        <w:tc>
          <w:tcPr>
            <w:tcW w:w="1553" w:type="pct"/>
            <w:vAlign w:val="center"/>
          </w:tcPr>
          <w:p w14:paraId="58246910"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Documento por ciudad con sectores económicos relevantes</w:t>
            </w:r>
          </w:p>
        </w:tc>
        <w:tc>
          <w:tcPr>
            <w:tcW w:w="1479" w:type="pct"/>
            <w:vAlign w:val="center"/>
          </w:tcPr>
          <w:p w14:paraId="07DF6135"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El entregable cumple con la identificación sectorial exigida en los TdR; la priorización se presenta de manera preliminar y se profundiza metodológicamente en el Entregable 2.</w:t>
            </w:r>
          </w:p>
        </w:tc>
      </w:tr>
      <w:tr w:rsidR="002268B1" w:rsidRPr="007F4E9F" w14:paraId="1000D93C" w14:textId="77777777" w:rsidTr="007B3E56">
        <w:tc>
          <w:tcPr>
            <w:tcW w:w="736" w:type="pct"/>
            <w:vAlign w:val="center"/>
          </w:tcPr>
          <w:p w14:paraId="7C7BD805"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2</w:t>
            </w:r>
          </w:p>
        </w:tc>
        <w:tc>
          <w:tcPr>
            <w:tcW w:w="1232" w:type="pct"/>
            <w:vAlign w:val="center"/>
          </w:tcPr>
          <w:p w14:paraId="361B4189"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Priorización y caracterización de sectores económicos</w:t>
            </w:r>
          </w:p>
        </w:tc>
        <w:tc>
          <w:tcPr>
            <w:tcW w:w="1553" w:type="pct"/>
            <w:vAlign w:val="center"/>
          </w:tcPr>
          <w:p w14:paraId="4EADF937"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Documento técnico de caracterización por ciudad</w:t>
            </w:r>
          </w:p>
        </w:tc>
        <w:tc>
          <w:tcPr>
            <w:tcW w:w="1479" w:type="pct"/>
            <w:vAlign w:val="center"/>
          </w:tcPr>
          <w:p w14:paraId="033E81A9"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Se realiza una investigación de sectores prioritarios y se entrega un documento por ciudad.</w:t>
            </w:r>
          </w:p>
        </w:tc>
      </w:tr>
      <w:tr w:rsidR="002268B1" w:rsidRPr="007F4E9F" w14:paraId="21E3BFFE" w14:textId="77777777" w:rsidTr="007B3E56">
        <w:tc>
          <w:tcPr>
            <w:tcW w:w="736" w:type="pct"/>
            <w:vAlign w:val="center"/>
          </w:tcPr>
          <w:p w14:paraId="0B9A860E"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3</w:t>
            </w:r>
          </w:p>
        </w:tc>
        <w:tc>
          <w:tcPr>
            <w:tcW w:w="1232" w:type="pct"/>
            <w:vAlign w:val="center"/>
          </w:tcPr>
          <w:p w14:paraId="4215747E"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Identificación de empresas y emprendimientos por sector</w:t>
            </w:r>
          </w:p>
        </w:tc>
        <w:tc>
          <w:tcPr>
            <w:tcW w:w="1553" w:type="pct"/>
            <w:vAlign w:val="center"/>
          </w:tcPr>
          <w:p w14:paraId="4C22E276"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Listado de empresas con tipología y potencial de valorización</w:t>
            </w:r>
          </w:p>
        </w:tc>
        <w:tc>
          <w:tcPr>
            <w:tcW w:w="1479" w:type="pct"/>
            <w:vAlign w:val="center"/>
          </w:tcPr>
          <w:p w14:paraId="715696CA"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 xml:space="preserve">Se entregaron listados de empresas por ciudad con fichas que contienen la información general de la empresa para su contacto, la descripción básica de sus productos y las estrategias de economía circular que aplican.  </w:t>
            </w:r>
          </w:p>
        </w:tc>
      </w:tr>
      <w:tr w:rsidR="002268B1" w:rsidRPr="007F4E9F" w14:paraId="7A427ABA" w14:textId="77777777" w:rsidTr="007B3E56">
        <w:tc>
          <w:tcPr>
            <w:tcW w:w="736" w:type="pct"/>
            <w:vAlign w:val="center"/>
          </w:tcPr>
          <w:p w14:paraId="39492973"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4–7</w:t>
            </w:r>
          </w:p>
        </w:tc>
        <w:tc>
          <w:tcPr>
            <w:tcW w:w="1232" w:type="pct"/>
            <w:vAlign w:val="center"/>
          </w:tcPr>
          <w:p w14:paraId="46C7E0C4"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Diseño, desarrollo, puesta en operación y soporte del Marketplace</w:t>
            </w:r>
          </w:p>
        </w:tc>
        <w:tc>
          <w:tcPr>
            <w:tcW w:w="1553" w:type="pct"/>
            <w:vAlign w:val="center"/>
          </w:tcPr>
          <w:p w14:paraId="7D069DAF"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Documentos técnicos de arquitectura, funcionalidad y operación</w:t>
            </w:r>
          </w:p>
        </w:tc>
        <w:tc>
          <w:tcPr>
            <w:tcW w:w="1479" w:type="pct"/>
            <w:vAlign w:val="center"/>
          </w:tcPr>
          <w:p w14:paraId="01DC44A7"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Se entrega el sitio web operativo y con pruebas de funcionalidad. Se e</w:t>
            </w:r>
            <w:r w:rsidRPr="007F4E9F">
              <w:rPr>
                <w:rFonts w:ascii="Times New Roman" w:hAnsi="Times New Roman" w:cs="Times New Roman"/>
              </w:rPr>
              <w:t>ntrega del diseño, código fuente, repositorio, y accesos de administración del sitio desarrollado en el cual se entreguen las llaves de seguridad pública y privada del sitio, así como los accesos necesarios para su gestión futura</w:t>
            </w:r>
          </w:p>
        </w:tc>
      </w:tr>
      <w:tr w:rsidR="002268B1" w:rsidRPr="007F4E9F" w14:paraId="12D17FFF" w14:textId="77777777" w:rsidTr="007B3E56">
        <w:tc>
          <w:tcPr>
            <w:tcW w:w="736" w:type="pct"/>
            <w:vAlign w:val="center"/>
          </w:tcPr>
          <w:p w14:paraId="636B3D63"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8</w:t>
            </w:r>
          </w:p>
        </w:tc>
        <w:tc>
          <w:tcPr>
            <w:tcW w:w="1232" w:type="pct"/>
            <w:vAlign w:val="center"/>
          </w:tcPr>
          <w:p w14:paraId="241EEDA3"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Identificación de indicadores de seguimiento</w:t>
            </w:r>
          </w:p>
        </w:tc>
        <w:tc>
          <w:tcPr>
            <w:tcW w:w="1553" w:type="pct"/>
            <w:vAlign w:val="center"/>
          </w:tcPr>
          <w:p w14:paraId="518F448E"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Documento con propuesta de indicadores</w:t>
            </w:r>
          </w:p>
        </w:tc>
        <w:tc>
          <w:tcPr>
            <w:tcW w:w="1479" w:type="pct"/>
            <w:vAlign w:val="center"/>
          </w:tcPr>
          <w:p w14:paraId="0045DA39"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Se entrega una propuesta de indicadores que será priorizada en el entregable 9</w:t>
            </w:r>
          </w:p>
        </w:tc>
      </w:tr>
      <w:tr w:rsidR="002268B1" w:rsidRPr="007F4E9F" w14:paraId="4B4844A0" w14:textId="77777777" w:rsidTr="007B3E56">
        <w:tc>
          <w:tcPr>
            <w:tcW w:w="736" w:type="pct"/>
            <w:vAlign w:val="center"/>
          </w:tcPr>
          <w:p w14:paraId="0A281177"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9</w:t>
            </w:r>
          </w:p>
        </w:tc>
        <w:tc>
          <w:tcPr>
            <w:tcW w:w="1232" w:type="pct"/>
            <w:vAlign w:val="center"/>
          </w:tcPr>
          <w:p w14:paraId="3E32AA13"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Priorización de indicadores según criterios de calidad y concertación</w:t>
            </w:r>
          </w:p>
        </w:tc>
        <w:tc>
          <w:tcPr>
            <w:tcW w:w="1553" w:type="pct"/>
            <w:vAlign w:val="center"/>
          </w:tcPr>
          <w:p w14:paraId="38B36E81"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Documento con selección de indicadores priorizados</w:t>
            </w:r>
          </w:p>
        </w:tc>
        <w:tc>
          <w:tcPr>
            <w:tcW w:w="1479" w:type="pct"/>
            <w:vAlign w:val="center"/>
          </w:tcPr>
          <w:p w14:paraId="56A3217B"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La batería de 6 indicadores se alinea con los principios de economía circular, aunque con menor énfasis en indicadores operativos del Marketplace.</w:t>
            </w:r>
          </w:p>
        </w:tc>
      </w:tr>
      <w:tr w:rsidR="002268B1" w:rsidRPr="007F4E9F" w14:paraId="049B9730" w14:textId="77777777" w:rsidTr="007B3E56">
        <w:tc>
          <w:tcPr>
            <w:tcW w:w="736" w:type="pct"/>
            <w:vAlign w:val="center"/>
          </w:tcPr>
          <w:p w14:paraId="2E7D78E8"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10</w:t>
            </w:r>
          </w:p>
        </w:tc>
        <w:tc>
          <w:tcPr>
            <w:tcW w:w="1232" w:type="pct"/>
            <w:vAlign w:val="center"/>
          </w:tcPr>
          <w:p w14:paraId="1E941A66"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Construcción de fichas técnicas de indicadores</w:t>
            </w:r>
          </w:p>
        </w:tc>
        <w:tc>
          <w:tcPr>
            <w:tcW w:w="1553" w:type="pct"/>
            <w:vAlign w:val="center"/>
          </w:tcPr>
          <w:p w14:paraId="32C584C9"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Documento con fichas técnicas (hojas de vida) de indicadores</w:t>
            </w:r>
          </w:p>
        </w:tc>
        <w:tc>
          <w:tcPr>
            <w:tcW w:w="1479" w:type="pct"/>
            <w:vAlign w:val="center"/>
          </w:tcPr>
          <w:p w14:paraId="5E83E2AB"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Se entrega un documento consolidado con las fichas de cada indicador y de acuerdo con el formato estándar del Observatorio Ambiental de Bogotá</w:t>
            </w:r>
          </w:p>
        </w:tc>
      </w:tr>
      <w:tr w:rsidR="002268B1" w:rsidRPr="007F4E9F" w14:paraId="126DD4BB" w14:textId="77777777" w:rsidTr="007B3E56">
        <w:tc>
          <w:tcPr>
            <w:tcW w:w="736" w:type="pct"/>
            <w:vAlign w:val="center"/>
          </w:tcPr>
          <w:p w14:paraId="6003B07A"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11</w:t>
            </w:r>
          </w:p>
        </w:tc>
        <w:tc>
          <w:tcPr>
            <w:tcW w:w="1232" w:type="pct"/>
            <w:vAlign w:val="center"/>
          </w:tcPr>
          <w:p w14:paraId="08962053"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Instrucciones para el cargue y gestión de indicadores en la plataforma</w:t>
            </w:r>
          </w:p>
        </w:tc>
        <w:tc>
          <w:tcPr>
            <w:tcW w:w="1553" w:type="pct"/>
            <w:vAlign w:val="center"/>
          </w:tcPr>
          <w:p w14:paraId="0262C821"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Manual de gestión de contenidos</w:t>
            </w:r>
          </w:p>
        </w:tc>
        <w:tc>
          <w:tcPr>
            <w:tcW w:w="1479" w:type="pct"/>
            <w:vAlign w:val="center"/>
          </w:tcPr>
          <w:p w14:paraId="22A44167"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El manual se enfoca en consulta y exportación de información; la verificabilidad del cargue y cálculo depende de validación directa en la plataforma.</w:t>
            </w:r>
          </w:p>
        </w:tc>
      </w:tr>
      <w:tr w:rsidR="002268B1" w:rsidRPr="007F4E9F" w14:paraId="2A77B648" w14:textId="77777777" w:rsidTr="007B3E56">
        <w:tc>
          <w:tcPr>
            <w:tcW w:w="736" w:type="pct"/>
            <w:vAlign w:val="center"/>
          </w:tcPr>
          <w:p w14:paraId="1A86B8EB"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12</w:t>
            </w:r>
          </w:p>
        </w:tc>
        <w:tc>
          <w:tcPr>
            <w:tcW w:w="1232" w:type="pct"/>
            <w:vAlign w:val="center"/>
          </w:tcPr>
          <w:p w14:paraId="3D70BE94"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Evento de socialización de la plataforma</w:t>
            </w:r>
          </w:p>
        </w:tc>
        <w:tc>
          <w:tcPr>
            <w:tcW w:w="1553" w:type="pct"/>
            <w:vAlign w:val="center"/>
          </w:tcPr>
          <w:p w14:paraId="294BF7E1"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Ejecución del evento y evidencia de socialización</w:t>
            </w:r>
          </w:p>
        </w:tc>
        <w:tc>
          <w:tcPr>
            <w:tcW w:w="1479" w:type="pct"/>
            <w:vAlign w:val="center"/>
          </w:tcPr>
          <w:p w14:paraId="62712A7C"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Se lleva a cabo un evento de lanzamiento de la plataforma</w:t>
            </w:r>
          </w:p>
        </w:tc>
      </w:tr>
    </w:tbl>
    <w:p w14:paraId="4D98BCD3" w14:textId="77777777" w:rsidR="002268B1" w:rsidRPr="007F4E9F" w:rsidRDefault="002268B1" w:rsidP="0032235A">
      <w:pPr>
        <w:jc w:val="both"/>
        <w:rPr>
          <w:rFonts w:ascii="Times New Roman" w:hAnsi="Times New Roman" w:cs="Times New Roman"/>
        </w:rPr>
      </w:pPr>
    </w:p>
    <w:p w14:paraId="7790CE3B" w14:textId="77777777" w:rsidR="002268B1" w:rsidRPr="007F4E9F" w:rsidRDefault="002268B1" w:rsidP="0032235A">
      <w:pPr>
        <w:jc w:val="both"/>
        <w:rPr>
          <w:rFonts w:ascii="Times New Roman" w:hAnsi="Times New Roman" w:cs="Times New Roman"/>
        </w:rPr>
      </w:pPr>
      <w:r w:rsidRPr="007F4E9F">
        <w:rPr>
          <w:rFonts w:ascii="Times New Roman" w:hAnsi="Times New Roman" w:cs="Times New Roman"/>
        </w:rPr>
        <w:t xml:space="preserve">La secuencia lógica de cada entregable es coherente con lo que se espera. En primera medida priorizar sectores productivos alineados con las necesidades y potencialidades en economía circular en cada región. Seguidamente para estos sectores, identificar empresas potenciales para vincularlos a la plataforma. Posteriormente se diseñar la plataforma con la posibilidad de vincular a las empresas priorizadas en la oferta y demanda. Paralelo al diseño de la plataforma se priorizan los indicadores requeridos para su seguimiento y se entregan las indicaciones para su cargue y descargue. Finalmente se realiza la validación de la plataforma y se procede a su lanzamiento.  Se puede apreciar entonces una secuencia lógica de diagnóstico, identificación de oportunidades, priorización, diseño de la plataforma y su validación. </w:t>
      </w:r>
    </w:p>
    <w:p w14:paraId="094496A3" w14:textId="77777777" w:rsidR="002268B1" w:rsidRPr="007F4E9F" w:rsidRDefault="002268B1" w:rsidP="0032235A">
      <w:pPr>
        <w:pStyle w:val="Heading4"/>
        <w:jc w:val="both"/>
        <w:rPr>
          <w:rFonts w:ascii="Times New Roman" w:hAnsi="Times New Roman"/>
        </w:rPr>
      </w:pPr>
      <w:bookmarkStart w:id="70" w:name="_Toc226750199"/>
      <w:r w:rsidRPr="007F4E9F">
        <w:rPr>
          <w:rFonts w:ascii="Times New Roman" w:hAnsi="Times New Roman"/>
        </w:rPr>
        <w:t>Articulación entre los componentes y actores institucionales</w:t>
      </w:r>
      <w:bookmarkEnd w:id="70"/>
    </w:p>
    <w:p w14:paraId="001ECA0A" w14:textId="22B22F78" w:rsidR="00386A83" w:rsidRPr="007F4E9F" w:rsidRDefault="00386A83" w:rsidP="00386A83">
      <w:pPr>
        <w:jc w:val="both"/>
        <w:rPr>
          <w:rFonts w:ascii="Times New Roman" w:hAnsi="Times New Roman" w:cs="Times New Roman"/>
        </w:rPr>
      </w:pPr>
      <w:r w:rsidRPr="007F4E9F">
        <w:rPr>
          <w:rFonts w:ascii="Times New Roman" w:hAnsi="Times New Roman" w:cs="Times New Roman"/>
        </w:rPr>
        <w:t xml:space="preserve">La articulación entre los componentes es evidente en la secuencia lógica de todos los entregables del componente 1. Por otra parte, la articulación de actores se verifica en el hecho de que la misma plataforma sirve a 4 ciudades y que en cada ciudad los actores institucionales se coordinaron inicialmente para entregar la información necesaria para la priorización de sectores y empresas en el diseño de la plataforma. </w:t>
      </w:r>
    </w:p>
    <w:p w14:paraId="6412E14C" w14:textId="0089A4E0" w:rsidR="00386A83" w:rsidRPr="007F4E9F" w:rsidRDefault="00386A83" w:rsidP="00386A83">
      <w:pPr>
        <w:spacing w:line="240" w:lineRule="auto"/>
        <w:jc w:val="both"/>
        <w:rPr>
          <w:rFonts w:ascii="Times New Roman" w:hAnsi="Times New Roman" w:cs="Times New Roman"/>
        </w:rPr>
      </w:pPr>
      <w:r w:rsidRPr="007F4E9F">
        <w:rPr>
          <w:rFonts w:ascii="Times New Roman" w:hAnsi="Times New Roman" w:cs="Times New Roman"/>
        </w:rPr>
        <w:t>La articulación entre los componentes, referida a la articulación entre el componente 1 y 2 del convenio, se verá más adelante cuando se aborde la evaluación del componente 2. Sin embargo, se aclara que el componente 1 no buscó la articulación con el componente 2 dada su implementación previa y que en cambio el componente 2 si buscó una articulación directa con el componente 1 al profundizar el análisis normativo en los sectores priorizados y al proponer un modelo de gobernanza para la plataforma digital diseñada en el componente 1</w:t>
      </w:r>
      <w:r w:rsidR="00F34B18" w:rsidRPr="007F4E9F">
        <w:rPr>
          <w:rFonts w:ascii="Times New Roman" w:hAnsi="Times New Roman" w:cs="Times New Roman"/>
        </w:rPr>
        <w:t xml:space="preserve"> (ICLEI &amp; ACODAL, 2025d)</w:t>
      </w:r>
      <w:r w:rsidRPr="007F4E9F">
        <w:rPr>
          <w:rFonts w:ascii="Times New Roman" w:hAnsi="Times New Roman" w:cs="Times New Roman"/>
        </w:rPr>
        <w:t>.</w:t>
      </w:r>
    </w:p>
    <w:p w14:paraId="28D3E55D" w14:textId="77777777" w:rsidR="00386A83" w:rsidRPr="007F4E9F" w:rsidRDefault="00386A83" w:rsidP="00386A83">
      <w:pPr>
        <w:jc w:val="both"/>
        <w:rPr>
          <w:rFonts w:ascii="Times New Roman" w:hAnsi="Times New Roman" w:cs="Times New Roman"/>
        </w:rPr>
      </w:pPr>
    </w:p>
    <w:p w14:paraId="4E1E3C6C" w14:textId="77777777" w:rsidR="002268B1" w:rsidRPr="007F4E9F" w:rsidRDefault="002268B1" w:rsidP="0032235A">
      <w:pPr>
        <w:pStyle w:val="Heading4"/>
        <w:jc w:val="both"/>
        <w:rPr>
          <w:rFonts w:ascii="Times New Roman" w:hAnsi="Times New Roman"/>
        </w:rPr>
      </w:pPr>
      <w:bookmarkStart w:id="71" w:name="_Toc226750200"/>
      <w:r w:rsidRPr="007F4E9F">
        <w:rPr>
          <w:rFonts w:ascii="Times New Roman" w:hAnsi="Times New Roman"/>
        </w:rPr>
        <w:t>Percepciones de los actores</w:t>
      </w:r>
      <w:bookmarkEnd w:id="71"/>
      <w:r w:rsidRPr="007F4E9F">
        <w:rPr>
          <w:rFonts w:ascii="Times New Roman" w:hAnsi="Times New Roman"/>
        </w:rPr>
        <w:t xml:space="preserve"> </w:t>
      </w:r>
    </w:p>
    <w:p w14:paraId="7900C988" w14:textId="6D96A171" w:rsidR="002268B1" w:rsidRPr="007F4E9F" w:rsidRDefault="002268B1" w:rsidP="0032235A">
      <w:pPr>
        <w:jc w:val="both"/>
        <w:rPr>
          <w:rFonts w:ascii="Times New Roman" w:hAnsi="Times New Roman" w:cs="Times New Roman"/>
        </w:rPr>
      </w:pPr>
      <w:r w:rsidRPr="007F4E9F">
        <w:rPr>
          <w:rFonts w:ascii="Times New Roman" w:hAnsi="Times New Roman" w:cs="Times New Roman"/>
        </w:rPr>
        <w:t>En el grupo foca</w:t>
      </w:r>
      <w:r w:rsidR="00386A83" w:rsidRPr="007F4E9F">
        <w:rPr>
          <w:rFonts w:ascii="Times New Roman" w:hAnsi="Times New Roman" w:cs="Times New Roman"/>
        </w:rPr>
        <w:t>l</w:t>
      </w:r>
      <w:r w:rsidRPr="007F4E9F">
        <w:rPr>
          <w:rFonts w:ascii="Times New Roman" w:hAnsi="Times New Roman" w:cs="Times New Roman"/>
        </w:rPr>
        <w:t xml:space="preserve"> con el comité directivo, se trabajaron las siguientes cuestiones: </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8630"/>
      </w:tblGrid>
      <w:tr w:rsidR="002268B1" w:rsidRPr="007F4E9F" w14:paraId="769C2CA0" w14:textId="77777777" w:rsidTr="000A3157">
        <w:tc>
          <w:tcPr>
            <w:tcW w:w="8630" w:type="dxa"/>
          </w:tcPr>
          <w:p w14:paraId="4AF5B58B" w14:textId="77777777" w:rsidR="002268B1" w:rsidRPr="007F4E9F" w:rsidRDefault="002268B1" w:rsidP="0032235A">
            <w:pPr>
              <w:jc w:val="both"/>
              <w:rPr>
                <w:rFonts w:ascii="Times New Roman" w:hAnsi="Times New Roman" w:cs="Times New Roman"/>
              </w:rPr>
            </w:pPr>
            <w:r w:rsidRPr="007F4E9F">
              <w:rPr>
                <w:rFonts w:ascii="Times New Roman" w:hAnsi="Times New Roman" w:cs="Times New Roman"/>
                <w:b/>
                <w:bCs/>
              </w:rPr>
              <w:t>P3.</w:t>
            </w:r>
            <w:r w:rsidRPr="007F4E9F">
              <w:rPr>
                <w:rFonts w:ascii="Times New Roman" w:hAnsi="Times New Roman" w:cs="Times New Roman"/>
              </w:rPr>
              <w:t xml:space="preserve"> La intervención logró armonizar exitosamente los intereses del proyecto con las políticas nacionales de economía circular de cada ciudad-país.</w:t>
            </w:r>
          </w:p>
          <w:p w14:paraId="2E405F7E" w14:textId="5078F256" w:rsidR="008C21B2" w:rsidRPr="007F4E9F" w:rsidRDefault="008C21B2" w:rsidP="0032235A">
            <w:pPr>
              <w:jc w:val="both"/>
              <w:rPr>
                <w:rFonts w:ascii="Times New Roman" w:hAnsi="Times New Roman" w:cs="Times New Roman"/>
              </w:rPr>
            </w:pPr>
          </w:p>
        </w:tc>
      </w:tr>
      <w:tr w:rsidR="002268B1" w:rsidRPr="007F4E9F" w14:paraId="36DB5989" w14:textId="77777777" w:rsidTr="000A3157">
        <w:tc>
          <w:tcPr>
            <w:tcW w:w="8630" w:type="dxa"/>
          </w:tcPr>
          <w:p w14:paraId="6068FDBE" w14:textId="77777777" w:rsidR="002268B1" w:rsidRPr="007F4E9F" w:rsidRDefault="002268B1" w:rsidP="0032235A">
            <w:pPr>
              <w:jc w:val="both"/>
              <w:rPr>
                <w:rFonts w:ascii="Times New Roman" w:hAnsi="Times New Roman" w:cs="Times New Roman"/>
              </w:rPr>
            </w:pPr>
            <w:r w:rsidRPr="007F4E9F">
              <w:rPr>
                <w:rFonts w:ascii="Times New Roman" w:hAnsi="Times New Roman" w:cs="Times New Roman"/>
                <w:b/>
                <w:bCs/>
              </w:rPr>
              <w:t>P4.</w:t>
            </w:r>
            <w:r w:rsidRPr="007F4E9F">
              <w:rPr>
                <w:rFonts w:ascii="Times New Roman" w:hAnsi="Times New Roman" w:cs="Times New Roman"/>
              </w:rPr>
              <w:t xml:space="preserve"> El Marketplace se coordinó de forma efectiva con iniciativas regionales previas (como Latitud R, La coalición economía circular en LAC, plataforma industria circular, BORSI), asegurando que añadiera un valor único y no duplicara esfuerzos.</w:t>
            </w:r>
          </w:p>
        </w:tc>
      </w:tr>
    </w:tbl>
    <w:p w14:paraId="1806ABBF" w14:textId="77777777" w:rsidR="002268B1" w:rsidRPr="007F4E9F" w:rsidRDefault="002268B1" w:rsidP="0032235A">
      <w:pPr>
        <w:jc w:val="both"/>
        <w:rPr>
          <w:rFonts w:ascii="Times New Roman" w:hAnsi="Times New Roman" w:cs="Times New Roman"/>
        </w:rPr>
      </w:pPr>
    </w:p>
    <w:p w14:paraId="52F78318" w14:textId="77777777" w:rsidR="002268B1" w:rsidRPr="007F4E9F" w:rsidRDefault="002268B1" w:rsidP="0032235A">
      <w:pPr>
        <w:jc w:val="both"/>
        <w:rPr>
          <w:rFonts w:ascii="Times New Roman" w:eastAsia="Times New Roman" w:hAnsi="Times New Roman" w:cs="Times New Roman"/>
        </w:rPr>
      </w:pPr>
      <w:r w:rsidRPr="007F4E9F">
        <w:rPr>
          <w:rFonts w:ascii="Times New Roman" w:hAnsi="Times New Roman" w:cs="Times New Roman"/>
        </w:rPr>
        <w:t>Ante la primera pregunta, como se mencionaba en el criterio de pertinencia, la priorización de los sectores e indicadores de la plataforma, respondió a un estudio técnico de cada sector para lograr</w:t>
      </w:r>
      <w:r w:rsidRPr="007F4E9F">
        <w:rPr>
          <w:rFonts w:ascii="Times New Roman" w:eastAsia="Times New Roman" w:hAnsi="Times New Roman" w:cs="Times New Roman"/>
        </w:rPr>
        <w:t xml:space="preserve"> caracterización técnica, normativa, política y de mercado en estos sectores por ciudad. Esta alineación se puede encontrar en este producto, no obstante, se desarrolla más ampliamente en el componente 2 ya que tiene un foco en marco regulatorio y de política como se puede verificar más adelante en la evaluación de este componente. </w:t>
      </w:r>
    </w:p>
    <w:p w14:paraId="7C6D1F35" w14:textId="6003A846"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 xml:space="preserve">Durante el grupo Focal con el comité directivo se pudo constatar que el Marketplace dialogó con otras iniciativas que buscaban objetivos similares de conectar oferta y demanda de residuos y productos circulares como la Bolsa de Residuos y Subproductos Industriales </w:t>
      </w:r>
      <w:r w:rsidR="00AF2BFE" w:rsidRPr="007F4E9F">
        <w:rPr>
          <w:rFonts w:ascii="Times New Roman" w:eastAsia="Times New Roman" w:hAnsi="Times New Roman" w:cs="Times New Roman"/>
        </w:rPr>
        <w:t>(</w:t>
      </w:r>
      <w:r w:rsidRPr="007F4E9F">
        <w:rPr>
          <w:rFonts w:ascii="Times New Roman" w:eastAsia="Times New Roman" w:hAnsi="Times New Roman" w:cs="Times New Roman"/>
        </w:rPr>
        <w:t>BORSI</w:t>
      </w:r>
      <w:r w:rsidR="00AF2BFE" w:rsidRPr="007F4E9F">
        <w:rPr>
          <w:rFonts w:ascii="Times New Roman" w:eastAsia="Times New Roman" w:hAnsi="Times New Roman" w:cs="Times New Roman"/>
        </w:rPr>
        <w:t>)</w:t>
      </w:r>
      <w:r w:rsidRPr="007F4E9F">
        <w:rPr>
          <w:rFonts w:ascii="Times New Roman" w:eastAsia="Times New Roman" w:hAnsi="Times New Roman" w:cs="Times New Roman"/>
        </w:rPr>
        <w:t xml:space="preserve">, que a pesar de contar con una plataforma virtual creada por el Centro Nacional de Producción más Limpia de Colombia ya no funciona. La BORSI fue un punto de partida para aprender de la posibilidad de contar con este tipo de plataformas de intercambio de residuos con fines de monetización. Se resalta que precisamente la monetización en la plataforma es muy compleja para un organismo como la Secretaría de Ambiente de Bogotá en su misionalidad de Autoridad ambiental justificando la no transaccionalidad de la plataforma en su versión actual. </w:t>
      </w:r>
    </w:p>
    <w:p w14:paraId="01533F40" w14:textId="77777777"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 xml:space="preserve">Desde CORFO se resalta la importancia de participar en este tipo de iniciativas regionales. Por ejemplo, Chile, cuenta con una iniciativa independiente denominada Industria Circular desarrollada entre 2017 y 2019 cuenta con un portal web para facilitar la simbiosis industrial de empresas de la región de Valparaíso y Santiago con Valparaíso y Santiago circular (2023-2024). Desde CORFO se resaltan los problemas de tracción que ha tenido esta iniciativa debido a problemas no resueltos a nivel de mercado, como los estándares normativos y de calidad para materias primas secundarias que no pueden verificarse en la plataforma. Si bien Industria Circular es un proyecto paralelo al de la Plataforma Regional de Economía Circular, tiene financiadores y actores institucionales ejecutores diferentes y adicionalmente su foco es exclusivo para simbiosis industrial, mientras que la plataforma regional de economía circular cuenta con un alcance mayor al incluir emprendimientos. </w:t>
      </w:r>
    </w:p>
    <w:p w14:paraId="71AE2BA0" w14:textId="357F055B" w:rsidR="002268B1" w:rsidRPr="007F4E9F" w:rsidRDefault="002268B1" w:rsidP="0032235A">
      <w:pPr>
        <w:jc w:val="both"/>
        <w:rPr>
          <w:rFonts w:ascii="Times New Roman" w:eastAsia="Times New Roman" w:hAnsi="Times New Roman" w:cs="Times New Roman"/>
        </w:rPr>
      </w:pPr>
      <w:r w:rsidRPr="007F4E9F">
        <w:rPr>
          <w:rFonts w:ascii="Times New Roman" w:eastAsia="Times New Roman" w:hAnsi="Times New Roman" w:cs="Times New Roman"/>
        </w:rPr>
        <w:t xml:space="preserve">En espacios de trabajo adicionales con la Secretaría Distrital de Ambiente como organismo ejecutor, se consultó acerca del orden de implementación del proyecto, dado a que se implementó en el orden listado en el convenio:  1) plataforma digital, 2) fortalecimiento de marco regulatorio y se buscaba implementar la 3) caja de herramientas para el fortalecimiento de la economía circular del sector privado. Es probable que el orden de implementación repercuta en los resultados generales del proyecto dado que algunos componentes como el componente 2 generan factores habilitantes con normas e incentivos claros para el mercado circular y el componente 3 fortalece los negocios circulares que luego pueden ser vinculados a la plataforma de del componente 1. </w:t>
      </w:r>
    </w:p>
    <w:p w14:paraId="293AF262" w14:textId="592D77A6" w:rsidR="003270AC" w:rsidRPr="007F4E9F" w:rsidRDefault="002268B1" w:rsidP="0032235A">
      <w:pPr>
        <w:pStyle w:val="Heading3"/>
        <w:jc w:val="both"/>
        <w:rPr>
          <w:rFonts w:ascii="Times New Roman" w:hAnsi="Times New Roman"/>
        </w:rPr>
      </w:pPr>
      <w:bookmarkStart w:id="72" w:name="_Toc226750201"/>
      <w:r w:rsidRPr="007F4E9F">
        <w:rPr>
          <w:rFonts w:ascii="Times New Roman" w:hAnsi="Times New Roman"/>
        </w:rPr>
        <w:t>Cumplimiento</w:t>
      </w:r>
      <w:bookmarkEnd w:id="72"/>
      <w:r w:rsidRPr="007F4E9F">
        <w:rPr>
          <w:rFonts w:ascii="Times New Roman" w:hAnsi="Times New Roman"/>
        </w:rPr>
        <w:t xml:space="preserve"> </w:t>
      </w:r>
    </w:p>
    <w:p w14:paraId="198BC2B3" w14:textId="3945CADE" w:rsidR="00B23840" w:rsidRPr="007F4E9F" w:rsidRDefault="00B23840" w:rsidP="0032235A">
      <w:pPr>
        <w:jc w:val="both"/>
        <w:rPr>
          <w:rFonts w:ascii="Times New Roman" w:hAnsi="Times New Roman" w:cs="Times New Roman"/>
        </w:rPr>
      </w:pPr>
      <w:r w:rsidRPr="007F4E9F">
        <w:rPr>
          <w:rFonts w:ascii="Times New Roman" w:hAnsi="Times New Roman" w:cs="Times New Roman"/>
        </w:rPr>
        <w:t xml:space="preserve">El cumplimiento busca verificar si el proyecto cumplió con los resultados previstos en la intervención. </w:t>
      </w:r>
      <w:r w:rsidR="003F2007" w:rsidRPr="007F4E9F">
        <w:rPr>
          <w:rFonts w:ascii="Times New Roman" w:hAnsi="Times New Roman" w:cs="Times New Roman"/>
        </w:rPr>
        <w:t>Corresponde a la matriz de cumplimiento de resultados por componente y ciudad, contrastando metas planificadas vs. Alcanzadas del informe intermedio.</w:t>
      </w:r>
      <w:r w:rsidRPr="007F4E9F">
        <w:rPr>
          <w:rFonts w:ascii="Times New Roman" w:hAnsi="Times New Roman" w:cs="Times New Roman"/>
        </w:rPr>
        <w:t xml:space="preserve"> De acuerdo con la tabla 1, se evaluaron dos alcances</w:t>
      </w:r>
      <w:r w:rsidR="002268B1" w:rsidRPr="007F4E9F">
        <w:rPr>
          <w:rFonts w:ascii="Times New Roman" w:hAnsi="Times New Roman" w:cs="Times New Roman"/>
        </w:rPr>
        <w:t xml:space="preserve"> para cada componente: </w:t>
      </w:r>
    </w:p>
    <w:p w14:paraId="37A6249B" w14:textId="77777777" w:rsidR="002268B1" w:rsidRPr="007F4E9F" w:rsidRDefault="002268B1" w:rsidP="005C3660">
      <w:pPr>
        <w:pStyle w:val="ListParagraph"/>
        <w:numPr>
          <w:ilvl w:val="0"/>
          <w:numId w:val="10"/>
        </w:numPr>
        <w:jc w:val="both"/>
        <w:rPr>
          <w:rFonts w:ascii="Times New Roman" w:hAnsi="Times New Roman" w:cs="Times New Roman"/>
        </w:rPr>
      </w:pPr>
      <w:r w:rsidRPr="007F4E9F">
        <w:rPr>
          <w:rFonts w:ascii="Times New Roman" w:hAnsi="Times New Roman" w:cs="Times New Roman"/>
        </w:rPr>
        <w:t xml:space="preserve">Nivel de logro de metas e indicadores previstos en el convenio. </w:t>
      </w:r>
    </w:p>
    <w:p w14:paraId="3A21A43A" w14:textId="3D5BDD33" w:rsidR="002268B1" w:rsidRPr="007F4E9F" w:rsidRDefault="002268B1" w:rsidP="005C3660">
      <w:pPr>
        <w:pStyle w:val="ListParagraph"/>
        <w:numPr>
          <w:ilvl w:val="0"/>
          <w:numId w:val="10"/>
        </w:numPr>
        <w:jc w:val="both"/>
        <w:rPr>
          <w:rFonts w:ascii="Times New Roman" w:hAnsi="Times New Roman" w:cs="Times New Roman"/>
        </w:rPr>
      </w:pPr>
      <w:r w:rsidRPr="007F4E9F">
        <w:rPr>
          <w:rFonts w:ascii="Times New Roman" w:hAnsi="Times New Roman" w:cs="Times New Roman"/>
        </w:rPr>
        <w:t>Revisión de evidencias y productos técnicos entregados.</w:t>
      </w:r>
    </w:p>
    <w:p w14:paraId="0332C16C" w14:textId="541B3709" w:rsidR="002268B1" w:rsidRPr="007F4E9F" w:rsidRDefault="002268B1" w:rsidP="0032235A">
      <w:pPr>
        <w:pStyle w:val="Heading4"/>
        <w:jc w:val="both"/>
        <w:rPr>
          <w:rFonts w:ascii="Times New Roman" w:hAnsi="Times New Roman"/>
        </w:rPr>
      </w:pPr>
      <w:bookmarkStart w:id="73" w:name="_Toc226750202"/>
      <w:r w:rsidRPr="007F4E9F">
        <w:rPr>
          <w:rFonts w:ascii="Times New Roman" w:hAnsi="Times New Roman"/>
        </w:rPr>
        <w:t>Nivel de logro de metas e indicadores previstos en el convenio.</w:t>
      </w:r>
      <w:bookmarkEnd w:id="73"/>
      <w:r w:rsidRPr="007F4E9F">
        <w:rPr>
          <w:rFonts w:ascii="Times New Roman" w:hAnsi="Times New Roman"/>
        </w:rPr>
        <w:t xml:space="preserve"> </w:t>
      </w:r>
    </w:p>
    <w:p w14:paraId="2B546716" w14:textId="3FCF3ABF" w:rsidR="009B270D" w:rsidRPr="007F4E9F" w:rsidRDefault="002268B1" w:rsidP="0032235A">
      <w:pPr>
        <w:jc w:val="both"/>
        <w:rPr>
          <w:rFonts w:ascii="Times New Roman" w:hAnsi="Times New Roman" w:cs="Times New Roman"/>
        </w:rPr>
      </w:pPr>
      <w:r w:rsidRPr="007F4E9F">
        <w:rPr>
          <w:rFonts w:ascii="Times New Roman" w:hAnsi="Times New Roman" w:cs="Times New Roman"/>
        </w:rPr>
        <w:t xml:space="preserve">El logro de metas e indicadores se </w:t>
      </w:r>
      <w:r w:rsidR="00264454" w:rsidRPr="007F4E9F">
        <w:rPr>
          <w:rFonts w:ascii="Times New Roman" w:hAnsi="Times New Roman" w:cs="Times New Roman"/>
        </w:rPr>
        <w:t>evaluará</w:t>
      </w:r>
      <w:r w:rsidRPr="007F4E9F">
        <w:rPr>
          <w:rFonts w:ascii="Times New Roman" w:hAnsi="Times New Roman" w:cs="Times New Roman"/>
        </w:rPr>
        <w:t xml:space="preserve"> con base en la matriz de resultados del proyecto</w:t>
      </w:r>
      <w:r w:rsidR="00264454" w:rsidRPr="007F4E9F">
        <w:rPr>
          <w:rFonts w:ascii="Times New Roman" w:hAnsi="Times New Roman" w:cs="Times New Roman"/>
        </w:rPr>
        <w:t xml:space="preserve"> </w:t>
      </w:r>
      <w:r w:rsidR="00D74496" w:rsidRPr="007F4E9F">
        <w:rPr>
          <w:rFonts w:ascii="Times New Roman" w:hAnsi="Times New Roman" w:cs="Times New Roman"/>
        </w:rPr>
        <w:t>RG-T3997</w:t>
      </w:r>
      <w:r w:rsidR="009B270D" w:rsidRPr="007F4E9F">
        <w:rPr>
          <w:rFonts w:ascii="Times New Roman" w:hAnsi="Times New Roman" w:cs="Times New Roman"/>
        </w:rPr>
        <w:t xml:space="preserve"> para cada uno de sus </w:t>
      </w:r>
      <w:r w:rsidR="0037582D" w:rsidRPr="007F4E9F">
        <w:rPr>
          <w:rFonts w:ascii="Times New Roman" w:hAnsi="Times New Roman" w:cs="Times New Roman"/>
          <w:i/>
          <w:iCs/>
        </w:rPr>
        <w:t>resultados</w:t>
      </w:r>
      <w:r w:rsidR="009B270D" w:rsidRPr="007F4E9F">
        <w:rPr>
          <w:rFonts w:ascii="Times New Roman" w:hAnsi="Times New Roman" w:cs="Times New Roman"/>
        </w:rPr>
        <w:t xml:space="preserve"> y </w:t>
      </w:r>
      <w:r w:rsidR="0037582D" w:rsidRPr="007F4E9F">
        <w:rPr>
          <w:rFonts w:ascii="Times New Roman" w:hAnsi="Times New Roman" w:cs="Times New Roman"/>
        </w:rPr>
        <w:t>productos</w:t>
      </w:r>
      <w:r w:rsidR="009B270D" w:rsidRPr="007F4E9F">
        <w:rPr>
          <w:rFonts w:ascii="Times New Roman" w:hAnsi="Times New Roman" w:cs="Times New Roman"/>
        </w:rPr>
        <w:t xml:space="preserve"> relacionados en la </w:t>
      </w:r>
      <w:r w:rsidR="0037582D" w:rsidRPr="007F4E9F">
        <w:rPr>
          <w:rFonts w:ascii="Times New Roman" w:hAnsi="Times New Roman" w:cs="Times New Roman"/>
        </w:rPr>
        <w:t>tabla</w:t>
      </w:r>
      <w:r w:rsidR="009B270D" w:rsidRPr="007F4E9F">
        <w:rPr>
          <w:rFonts w:ascii="Times New Roman" w:hAnsi="Times New Roman" w:cs="Times New Roman"/>
        </w:rPr>
        <w:t xml:space="preserve"> 9. Adicionalmente se incluyen percepciones de </w:t>
      </w:r>
      <w:r w:rsidR="00DC3990" w:rsidRPr="007F4E9F">
        <w:rPr>
          <w:rFonts w:ascii="Times New Roman" w:hAnsi="Times New Roman" w:cs="Times New Roman"/>
        </w:rPr>
        <w:t>l</w:t>
      </w:r>
      <w:r w:rsidR="009B270D" w:rsidRPr="007F4E9F">
        <w:rPr>
          <w:rFonts w:ascii="Times New Roman" w:hAnsi="Times New Roman" w:cs="Times New Roman"/>
        </w:rPr>
        <w:t>os actores al respecto del objetivo de la plataforma de promover y lograr intercambios de materiales o subproductos entre empresas que forman parte de la plataforma, para el seguimiento sobre la cantidad de toneladas de residuos o subproductos intercambiados a través de la plataforma.</w:t>
      </w:r>
    </w:p>
    <w:p w14:paraId="50B40C93" w14:textId="37B56AFF" w:rsidR="009B270D" w:rsidRPr="007F4E9F" w:rsidRDefault="009B270D" w:rsidP="0032235A">
      <w:pPr>
        <w:pStyle w:val="Caption"/>
        <w:keepNext/>
        <w:jc w:val="both"/>
        <w:rPr>
          <w:rFonts w:ascii="Times New Roman" w:hAnsi="Times New Roman" w:cs="Times New Roman"/>
          <w:sz w:val="22"/>
          <w:szCs w:val="22"/>
        </w:rPr>
      </w:pPr>
      <w:bookmarkStart w:id="74" w:name="_Toc225848235"/>
      <w:r w:rsidRPr="007F4E9F">
        <w:rPr>
          <w:rFonts w:ascii="Times New Roman" w:hAnsi="Times New Roman" w:cs="Times New Roman"/>
          <w:sz w:val="22"/>
          <w:szCs w:val="22"/>
        </w:rPr>
        <w:t xml:space="preserve">Tabla </w:t>
      </w:r>
      <w:r w:rsidRPr="007F4E9F">
        <w:rPr>
          <w:rFonts w:ascii="Times New Roman" w:hAnsi="Times New Roman" w:cs="Times New Roman"/>
          <w:sz w:val="22"/>
          <w:szCs w:val="22"/>
        </w:rPr>
        <w:fldChar w:fldCharType="begin"/>
      </w:r>
      <w:r w:rsidRPr="007F4E9F">
        <w:rPr>
          <w:rFonts w:ascii="Times New Roman" w:hAnsi="Times New Roman" w:cs="Times New Roman"/>
          <w:sz w:val="22"/>
          <w:szCs w:val="22"/>
        </w:rPr>
        <w:instrText xml:space="preserve"> SEQ Tabla \* ARABIC </w:instrText>
      </w:r>
      <w:r w:rsidRPr="007F4E9F">
        <w:rPr>
          <w:rFonts w:ascii="Times New Roman" w:hAnsi="Times New Roman" w:cs="Times New Roman"/>
          <w:sz w:val="22"/>
          <w:szCs w:val="22"/>
        </w:rPr>
        <w:fldChar w:fldCharType="separate"/>
      </w:r>
      <w:r w:rsidR="00CB1A80" w:rsidRPr="007F4E9F">
        <w:rPr>
          <w:rFonts w:ascii="Times New Roman" w:hAnsi="Times New Roman" w:cs="Times New Roman"/>
          <w:noProof/>
          <w:sz w:val="22"/>
          <w:szCs w:val="22"/>
        </w:rPr>
        <w:t>9</w:t>
      </w:r>
      <w:r w:rsidRPr="007F4E9F">
        <w:rPr>
          <w:rFonts w:ascii="Times New Roman" w:hAnsi="Times New Roman" w:cs="Times New Roman"/>
          <w:sz w:val="22"/>
          <w:szCs w:val="22"/>
        </w:rPr>
        <w:fldChar w:fldCharType="end"/>
      </w:r>
      <w:r w:rsidRPr="007F4E9F">
        <w:rPr>
          <w:rFonts w:ascii="Times New Roman" w:hAnsi="Times New Roman" w:cs="Times New Roman"/>
          <w:sz w:val="22"/>
          <w:szCs w:val="22"/>
        </w:rPr>
        <w:t xml:space="preserve"> </w:t>
      </w:r>
      <w:r w:rsidRPr="007F4E9F">
        <w:rPr>
          <w:rFonts w:ascii="Times New Roman" w:hAnsi="Times New Roman" w:cs="Times New Roman"/>
          <w:i/>
          <w:iCs/>
          <w:sz w:val="22"/>
          <w:szCs w:val="22"/>
        </w:rPr>
        <w:t>Matriz de resultados</w:t>
      </w:r>
      <w:bookmarkEnd w:id="74"/>
    </w:p>
    <w:p w14:paraId="5913D00A" w14:textId="4FF98FEF" w:rsidR="009B270D" w:rsidRPr="007F4E9F" w:rsidRDefault="009B270D" w:rsidP="0032235A">
      <w:pPr>
        <w:jc w:val="both"/>
        <w:rPr>
          <w:rFonts w:ascii="Times New Roman" w:hAnsi="Times New Roman" w:cs="Times New Roman"/>
        </w:rPr>
      </w:pPr>
      <w:r w:rsidRPr="007F4E9F">
        <w:rPr>
          <w:rFonts w:ascii="Times New Roman" w:hAnsi="Times New Roman" w:cs="Times New Roman"/>
          <w:noProof/>
        </w:rPr>
        <w:drawing>
          <wp:inline distT="0" distB="0" distL="0" distR="0" wp14:anchorId="6B291CC9" wp14:editId="1CAD9211">
            <wp:extent cx="5486400" cy="189103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6400" cy="1891030"/>
                    </a:xfrm>
                    <a:prstGeom prst="rect">
                      <a:avLst/>
                    </a:prstGeom>
                  </pic:spPr>
                </pic:pic>
              </a:graphicData>
            </a:graphic>
          </wp:inline>
        </w:drawing>
      </w:r>
    </w:p>
    <w:p w14:paraId="6DD3E89A" w14:textId="77777777" w:rsidR="00DC3990" w:rsidRPr="007F4E9F" w:rsidRDefault="00DC3990" w:rsidP="00DC3990">
      <w:pPr>
        <w:spacing w:line="240" w:lineRule="auto"/>
        <w:jc w:val="both"/>
        <w:rPr>
          <w:rFonts w:ascii="Times New Roman" w:eastAsia="Times New Roman" w:hAnsi="Times New Roman" w:cs="Times New Roman"/>
        </w:rPr>
      </w:pPr>
      <w:r w:rsidRPr="007F4E9F">
        <w:rPr>
          <w:rFonts w:ascii="Times New Roman" w:eastAsia="Times New Roman" w:hAnsi="Times New Roman" w:cs="Times New Roman"/>
        </w:rPr>
        <w:t>Fuente: Matriz de resultados RG-T3997</w:t>
      </w:r>
    </w:p>
    <w:p w14:paraId="341391FA" w14:textId="77777777" w:rsidR="00DC3990" w:rsidRPr="007F4E9F" w:rsidRDefault="00DC3990" w:rsidP="0032235A">
      <w:pPr>
        <w:jc w:val="both"/>
        <w:rPr>
          <w:rFonts w:ascii="Times New Roman" w:hAnsi="Times New Roman" w:cs="Times New Roman"/>
        </w:rPr>
      </w:pPr>
    </w:p>
    <w:p w14:paraId="5B18DF18" w14:textId="7E0D1630" w:rsidR="00107E6C" w:rsidRPr="00FC1E96" w:rsidRDefault="00ED1F52" w:rsidP="0032235A">
      <w:pPr>
        <w:pStyle w:val="Subtitle"/>
        <w:jc w:val="both"/>
        <w:rPr>
          <w:rFonts w:ascii="Times New Roman" w:hAnsi="Times New Roman" w:cs="Times New Roman"/>
          <w:sz w:val="22"/>
          <w:szCs w:val="22"/>
        </w:rPr>
      </w:pPr>
      <w:r w:rsidRPr="007F4E9F">
        <w:rPr>
          <w:rFonts w:ascii="Times New Roman" w:hAnsi="Times New Roman" w:cs="Times New Roman"/>
          <w:sz w:val="22"/>
          <w:szCs w:val="22"/>
        </w:rPr>
        <w:t>Resultados</w:t>
      </w:r>
    </w:p>
    <w:p w14:paraId="1F1725D3" w14:textId="56D8CF9C" w:rsidR="002268B1" w:rsidRPr="007F4E9F" w:rsidRDefault="00107E6C" w:rsidP="0032235A">
      <w:pPr>
        <w:pStyle w:val="Subtitle"/>
        <w:jc w:val="both"/>
        <w:rPr>
          <w:rFonts w:ascii="Times New Roman" w:hAnsi="Times New Roman" w:cs="Times New Roman"/>
          <w:sz w:val="22"/>
          <w:szCs w:val="22"/>
        </w:rPr>
      </w:pPr>
      <w:r w:rsidRPr="007F4E9F">
        <w:rPr>
          <w:rFonts w:ascii="Times New Roman" w:hAnsi="Times New Roman" w:cs="Times New Roman"/>
          <w:sz w:val="22"/>
          <w:szCs w:val="22"/>
        </w:rPr>
        <w:t xml:space="preserve">1 </w:t>
      </w:r>
      <w:r w:rsidR="00580D7D" w:rsidRPr="007F4E9F">
        <w:rPr>
          <w:rFonts w:ascii="Times New Roman" w:hAnsi="Times New Roman" w:cs="Times New Roman"/>
          <w:sz w:val="22"/>
          <w:szCs w:val="22"/>
        </w:rPr>
        <w:t>Aumento</w:t>
      </w:r>
      <w:r w:rsidR="00ED1F52" w:rsidRPr="007F4E9F">
        <w:rPr>
          <w:rFonts w:ascii="Times New Roman" w:hAnsi="Times New Roman" w:cs="Times New Roman"/>
          <w:sz w:val="22"/>
          <w:szCs w:val="22"/>
        </w:rPr>
        <w:t xml:space="preserve"> del intercambio de residuos/subproductos entre empresas</w:t>
      </w:r>
      <w:r w:rsidRPr="007F4E9F">
        <w:rPr>
          <w:rFonts w:ascii="Times New Roman" w:hAnsi="Times New Roman" w:cs="Times New Roman"/>
          <w:sz w:val="22"/>
          <w:szCs w:val="22"/>
        </w:rPr>
        <w:t>.</w:t>
      </w:r>
    </w:p>
    <w:p w14:paraId="4C630D06" w14:textId="3341E94E" w:rsidR="00DC3990" w:rsidRPr="007F4E9F" w:rsidRDefault="00107E6C" w:rsidP="0032235A">
      <w:pPr>
        <w:jc w:val="both"/>
        <w:rPr>
          <w:rFonts w:ascii="Times New Roman" w:hAnsi="Times New Roman" w:cs="Times New Roman"/>
        </w:rPr>
      </w:pPr>
      <w:r w:rsidRPr="00FC1E96">
        <w:rPr>
          <w:rFonts w:ascii="Times New Roman" w:hAnsi="Times New Roman" w:cs="Times New Roman"/>
        </w:rPr>
        <w:t xml:space="preserve">Este indicador tiene un solo numeral y </w:t>
      </w:r>
      <w:r w:rsidR="003E2785" w:rsidRPr="00FC1E96">
        <w:rPr>
          <w:rFonts w:ascii="Times New Roman" w:hAnsi="Times New Roman" w:cs="Times New Roman"/>
        </w:rPr>
        <w:t>corresponde</w:t>
      </w:r>
      <w:r w:rsidRPr="00FC1E96">
        <w:rPr>
          <w:rFonts w:ascii="Times New Roman" w:hAnsi="Times New Roman" w:cs="Times New Roman"/>
        </w:rPr>
        <w:t xml:space="preserve"> a </w:t>
      </w:r>
      <w:r w:rsidRPr="00FC1E96">
        <w:rPr>
          <w:rFonts w:ascii="Times New Roman" w:hAnsi="Times New Roman" w:cs="Times New Roman"/>
          <w:i/>
          <w:iCs/>
        </w:rPr>
        <w:t xml:space="preserve">1.1 </w:t>
      </w:r>
      <w:r w:rsidR="0037582D" w:rsidRPr="00FC1E96">
        <w:rPr>
          <w:rFonts w:ascii="Times New Roman" w:hAnsi="Times New Roman" w:cs="Times New Roman"/>
          <w:i/>
          <w:iCs/>
        </w:rPr>
        <w:t>Número</w:t>
      </w:r>
      <w:r w:rsidR="00ED1F52" w:rsidRPr="00FC1E96">
        <w:rPr>
          <w:rFonts w:ascii="Times New Roman" w:hAnsi="Times New Roman" w:cs="Times New Roman"/>
          <w:i/>
          <w:iCs/>
        </w:rPr>
        <w:t xml:space="preserve"> de residuos</w:t>
      </w:r>
      <w:r w:rsidR="0037582D" w:rsidRPr="00FC1E96">
        <w:rPr>
          <w:rFonts w:ascii="Times New Roman" w:hAnsi="Times New Roman" w:cs="Times New Roman"/>
          <w:i/>
          <w:iCs/>
        </w:rPr>
        <w:t xml:space="preserve"> y/o </w:t>
      </w:r>
      <w:r w:rsidR="00ED1F52" w:rsidRPr="00FC1E96">
        <w:rPr>
          <w:rFonts w:ascii="Times New Roman" w:hAnsi="Times New Roman" w:cs="Times New Roman"/>
          <w:i/>
          <w:iCs/>
        </w:rPr>
        <w:t>subproductos gestionados por la plataforma</w:t>
      </w:r>
      <w:r w:rsidRPr="00FC1E96">
        <w:rPr>
          <w:rFonts w:ascii="Times New Roman" w:hAnsi="Times New Roman" w:cs="Times New Roman"/>
        </w:rPr>
        <w:t xml:space="preserve">. </w:t>
      </w:r>
      <w:r w:rsidRPr="007F4E9F">
        <w:rPr>
          <w:rFonts w:ascii="Times New Roman" w:hAnsi="Times New Roman" w:cs="Times New Roman"/>
        </w:rPr>
        <w:t xml:space="preserve">La meta propuesta corresponde a 2000 toneladas con el año 2022 como línea base. La matriz RG-T3997 con vigencia a </w:t>
      </w:r>
      <w:r w:rsidR="001E7C2A" w:rsidRPr="007F4E9F">
        <w:rPr>
          <w:rFonts w:ascii="Times New Roman" w:hAnsi="Times New Roman" w:cs="Times New Roman"/>
        </w:rPr>
        <w:t>28 de enero</w:t>
      </w:r>
      <w:r w:rsidRPr="007F4E9F">
        <w:rPr>
          <w:rFonts w:ascii="Times New Roman" w:hAnsi="Times New Roman" w:cs="Times New Roman"/>
        </w:rPr>
        <w:t xml:space="preserve"> de 2026 reporta el cumplimiento de la meta para 2024 y 2025</w:t>
      </w:r>
      <w:r w:rsidR="001E7C2A" w:rsidRPr="007F4E9F">
        <w:rPr>
          <w:rFonts w:ascii="Times New Roman" w:hAnsi="Times New Roman" w:cs="Times New Roman"/>
        </w:rPr>
        <w:t xml:space="preserve">. </w:t>
      </w:r>
      <w:commentRangeStart w:id="75"/>
      <w:r w:rsidR="001E7C2A" w:rsidRPr="007F4E9F">
        <w:rPr>
          <w:rFonts w:ascii="Times New Roman" w:hAnsi="Times New Roman" w:cs="Times New Roman"/>
        </w:rPr>
        <w:t>P</w:t>
      </w:r>
      <w:r w:rsidRPr="007F4E9F">
        <w:rPr>
          <w:rFonts w:ascii="Times New Roman" w:hAnsi="Times New Roman" w:cs="Times New Roman"/>
        </w:rPr>
        <w:t>ara el año 2026</w:t>
      </w:r>
      <w:r w:rsidR="00E306EA" w:rsidRPr="007F4E9F">
        <w:rPr>
          <w:rFonts w:ascii="Times New Roman" w:hAnsi="Times New Roman" w:cs="Times New Roman"/>
        </w:rPr>
        <w:t xml:space="preserve">, a pesar de que el año apenas comienza, se reportan 2306,3 </w:t>
      </w:r>
      <w:r w:rsidRPr="007F4E9F">
        <w:rPr>
          <w:rFonts w:ascii="Times New Roman" w:hAnsi="Times New Roman" w:cs="Times New Roman"/>
        </w:rPr>
        <w:t>ton.</w:t>
      </w:r>
      <w:commentRangeEnd w:id="75"/>
      <w:r w:rsidR="0088549B" w:rsidRPr="007F4E9F">
        <w:rPr>
          <w:rStyle w:val="CommentReference"/>
          <w:rFonts w:ascii="Times New Roman" w:hAnsi="Times New Roman" w:cs="Times New Roman"/>
          <w:sz w:val="22"/>
          <w:szCs w:val="22"/>
        </w:rPr>
        <w:commentReference w:id="75"/>
      </w:r>
      <w:r w:rsidRPr="007F4E9F">
        <w:rPr>
          <w:rFonts w:ascii="Times New Roman" w:hAnsi="Times New Roman" w:cs="Times New Roman"/>
        </w:rPr>
        <w:t xml:space="preserve"> </w:t>
      </w:r>
      <w:r w:rsidR="00DC3990" w:rsidRPr="007F4E9F">
        <w:rPr>
          <w:rFonts w:ascii="Times New Roman" w:hAnsi="Times New Roman" w:cs="Times New Roman"/>
        </w:rPr>
        <w:t xml:space="preserve">Las cantidades reportadas no corresponden a las cantidades transadas por usuarios del Marketplace de la plataforma regional de economía circular, corresponden a toneladas reportadas en la plataforma </w:t>
      </w:r>
      <w:commentRangeStart w:id="76"/>
      <w:r w:rsidR="00DC3990" w:rsidRPr="007F4E9F">
        <w:rPr>
          <w:rFonts w:ascii="Times New Roman" w:hAnsi="Times New Roman" w:cs="Times New Roman"/>
        </w:rPr>
        <w:t xml:space="preserve">de programas que tributan a las metas de la Política Distrital de Economía Circular de Bogotá articuladas con el Marketplace </w:t>
      </w:r>
      <w:commentRangeEnd w:id="76"/>
      <w:r w:rsidR="0088549B" w:rsidRPr="007F4E9F">
        <w:rPr>
          <w:rStyle w:val="CommentReference"/>
          <w:rFonts w:ascii="Times New Roman" w:hAnsi="Times New Roman" w:cs="Times New Roman"/>
          <w:sz w:val="22"/>
          <w:szCs w:val="22"/>
        </w:rPr>
        <w:commentReference w:id="76"/>
      </w:r>
      <w:r w:rsidR="00DC3990" w:rsidRPr="007F4E9F">
        <w:rPr>
          <w:rFonts w:ascii="Times New Roman" w:hAnsi="Times New Roman" w:cs="Times New Roman"/>
        </w:rPr>
        <w:t>y que están debidamente registrados en la plataforma, por lo tanto, las cantidades reportadas corresponden a transacciones intermediadas o facilitadas por los programas.</w:t>
      </w:r>
    </w:p>
    <w:p w14:paraId="41E93ED8" w14:textId="4FE2D3CE" w:rsidR="006218EF" w:rsidRPr="007F4E9F" w:rsidRDefault="006218EF" w:rsidP="0032235A">
      <w:pPr>
        <w:jc w:val="both"/>
        <w:rPr>
          <w:rFonts w:ascii="Times New Roman" w:hAnsi="Times New Roman" w:cs="Times New Roman"/>
        </w:rPr>
      </w:pPr>
      <w:r w:rsidRPr="007F4E9F">
        <w:rPr>
          <w:rFonts w:ascii="Times New Roman" w:hAnsi="Times New Roman" w:cs="Times New Roman"/>
        </w:rPr>
        <w:t xml:space="preserve">Al indagar como se desagregan las metas por ciudad, desde la Secretaría de </w:t>
      </w:r>
      <w:r w:rsidR="00ED1F52" w:rsidRPr="007F4E9F">
        <w:rPr>
          <w:rFonts w:ascii="Times New Roman" w:hAnsi="Times New Roman" w:cs="Times New Roman"/>
        </w:rPr>
        <w:t>A</w:t>
      </w:r>
      <w:r w:rsidRPr="007F4E9F">
        <w:rPr>
          <w:rFonts w:ascii="Times New Roman" w:hAnsi="Times New Roman" w:cs="Times New Roman"/>
        </w:rPr>
        <w:t xml:space="preserve">mbiente de Bogotá se aclara que las toneladas reportadas corresponden exclusivamente a Bogotá y que las otras ciudades no tenían responsabilidad vinculante en el reporte de toneladas general. </w:t>
      </w:r>
    </w:p>
    <w:p w14:paraId="4247644F" w14:textId="25351F65" w:rsidR="00CD1B5B" w:rsidRPr="00FC1E96" w:rsidRDefault="00ED1F52" w:rsidP="0032235A">
      <w:pPr>
        <w:pStyle w:val="Subtitle"/>
        <w:jc w:val="both"/>
        <w:rPr>
          <w:rFonts w:ascii="Times New Roman" w:hAnsi="Times New Roman" w:cs="Times New Roman"/>
          <w:sz w:val="22"/>
          <w:szCs w:val="22"/>
        </w:rPr>
      </w:pPr>
      <w:r w:rsidRPr="00FC1E96">
        <w:rPr>
          <w:rFonts w:ascii="Times New Roman" w:hAnsi="Times New Roman" w:cs="Times New Roman"/>
          <w:sz w:val="22"/>
          <w:szCs w:val="22"/>
        </w:rPr>
        <w:t>Productos</w:t>
      </w:r>
      <w:r w:rsidR="00CD1B5B" w:rsidRPr="00FC1E96">
        <w:rPr>
          <w:rFonts w:ascii="Times New Roman" w:hAnsi="Times New Roman" w:cs="Times New Roman"/>
          <w:sz w:val="22"/>
          <w:szCs w:val="22"/>
        </w:rPr>
        <w:t xml:space="preserve"> </w:t>
      </w:r>
    </w:p>
    <w:p w14:paraId="47E00FED" w14:textId="4B764A9B" w:rsidR="00CD1B5B" w:rsidRPr="00FC1E96" w:rsidRDefault="00CD1B5B" w:rsidP="0032235A">
      <w:pPr>
        <w:pStyle w:val="Subtitle"/>
        <w:jc w:val="both"/>
        <w:rPr>
          <w:rFonts w:ascii="Times New Roman" w:hAnsi="Times New Roman" w:cs="Times New Roman"/>
          <w:sz w:val="22"/>
          <w:szCs w:val="22"/>
        </w:rPr>
      </w:pPr>
      <w:r w:rsidRPr="00FC1E96">
        <w:rPr>
          <w:rFonts w:ascii="Times New Roman" w:hAnsi="Times New Roman" w:cs="Times New Roman"/>
          <w:sz w:val="22"/>
          <w:szCs w:val="22"/>
        </w:rPr>
        <w:t xml:space="preserve">1 </w:t>
      </w:r>
      <w:r w:rsidR="00ED1F52" w:rsidRPr="00FC1E96">
        <w:rPr>
          <w:rFonts w:ascii="Times New Roman" w:hAnsi="Times New Roman" w:cs="Times New Roman"/>
          <w:sz w:val="22"/>
          <w:szCs w:val="22"/>
        </w:rPr>
        <w:t>Diseño e implementación de una Plataforma de economía circular</w:t>
      </w:r>
      <w:r w:rsidRPr="00FC1E96">
        <w:rPr>
          <w:rFonts w:ascii="Times New Roman" w:hAnsi="Times New Roman" w:cs="Times New Roman"/>
          <w:sz w:val="22"/>
          <w:szCs w:val="22"/>
        </w:rPr>
        <w:t>.</w:t>
      </w:r>
    </w:p>
    <w:p w14:paraId="79CFE025" w14:textId="4C5CF3D2" w:rsidR="00CD1B5B" w:rsidRPr="007F4E9F" w:rsidRDefault="00CD1B5B" w:rsidP="0032235A">
      <w:pPr>
        <w:spacing w:after="0" w:line="240" w:lineRule="auto"/>
        <w:jc w:val="both"/>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color w:val="000000" w:themeColor="text1"/>
          <w:lang w:eastAsia="es-ES"/>
        </w:rPr>
        <w:t xml:space="preserve">Este indicador cuenta con un solo numeral que corresponde a 1,1 Componente 1: </w:t>
      </w:r>
      <w:r w:rsidR="00ED1F52" w:rsidRPr="007F4E9F">
        <w:rPr>
          <w:rFonts w:ascii="Times New Roman" w:eastAsia="Times New Roman" w:hAnsi="Times New Roman" w:cs="Times New Roman"/>
          <w:color w:val="000000" w:themeColor="text1"/>
          <w:lang w:eastAsia="es-ES"/>
        </w:rPr>
        <w:t>Plataformas digitales diseñadas</w:t>
      </w:r>
      <w:r w:rsidRPr="007F4E9F">
        <w:rPr>
          <w:rFonts w:ascii="Times New Roman" w:eastAsia="Times New Roman" w:hAnsi="Times New Roman" w:cs="Times New Roman"/>
          <w:color w:val="000000" w:themeColor="text1"/>
          <w:lang w:eastAsia="es-ES"/>
        </w:rPr>
        <w:t>. Tal y como se mencionaba en el numeral 5. Resultados generales por componente, se puede verificar el diseño y puest</w:t>
      </w:r>
      <w:r w:rsidR="007B732E" w:rsidRPr="007F4E9F">
        <w:rPr>
          <w:rFonts w:ascii="Times New Roman" w:eastAsia="Times New Roman" w:hAnsi="Times New Roman" w:cs="Times New Roman"/>
          <w:color w:val="000000" w:themeColor="text1"/>
          <w:lang w:eastAsia="es-ES"/>
        </w:rPr>
        <w:t>a</w:t>
      </w:r>
      <w:r w:rsidRPr="007F4E9F">
        <w:rPr>
          <w:rFonts w:ascii="Times New Roman" w:eastAsia="Times New Roman" w:hAnsi="Times New Roman" w:cs="Times New Roman"/>
          <w:color w:val="000000" w:themeColor="text1"/>
          <w:lang w:eastAsia="es-ES"/>
        </w:rPr>
        <w:t xml:space="preserve"> en marcha de la plataforma regional de economía circular. </w:t>
      </w:r>
      <w:r w:rsidR="007B732E" w:rsidRPr="007F4E9F">
        <w:rPr>
          <w:rFonts w:ascii="Times New Roman" w:eastAsia="Times New Roman" w:hAnsi="Times New Roman" w:cs="Times New Roman"/>
          <w:color w:val="000000" w:themeColor="text1"/>
          <w:lang w:eastAsia="es-ES"/>
        </w:rPr>
        <w:t xml:space="preserve">Por lo tanto, se da </w:t>
      </w:r>
      <w:commentRangeStart w:id="77"/>
      <w:r w:rsidR="007B732E" w:rsidRPr="007F4E9F">
        <w:rPr>
          <w:rFonts w:ascii="Times New Roman" w:eastAsia="Times New Roman" w:hAnsi="Times New Roman" w:cs="Times New Roman"/>
          <w:color w:val="000000" w:themeColor="text1"/>
          <w:lang w:eastAsia="es-ES"/>
        </w:rPr>
        <w:t xml:space="preserve">cumplimiento pleno </w:t>
      </w:r>
      <w:commentRangeEnd w:id="77"/>
      <w:r w:rsidR="00EE571C" w:rsidRPr="007F4E9F">
        <w:rPr>
          <w:rStyle w:val="CommentReference"/>
          <w:rFonts w:ascii="Times New Roman" w:eastAsia="Times New Roman" w:hAnsi="Times New Roman" w:cs="Times New Roman"/>
          <w:color w:val="000000" w:themeColor="text1"/>
          <w:sz w:val="22"/>
          <w:szCs w:val="22"/>
          <w:lang w:eastAsia="es-ES"/>
        </w:rPr>
        <w:commentReference w:id="77"/>
      </w:r>
      <w:r w:rsidR="007B732E" w:rsidRPr="007F4E9F">
        <w:rPr>
          <w:rFonts w:ascii="Times New Roman" w:eastAsia="Times New Roman" w:hAnsi="Times New Roman" w:cs="Times New Roman"/>
          <w:color w:val="000000" w:themeColor="text1"/>
          <w:lang w:eastAsia="es-ES"/>
        </w:rPr>
        <w:t>al diseño de la plataforma</w:t>
      </w:r>
      <w:r w:rsidR="00200213" w:rsidRPr="007F4E9F">
        <w:rPr>
          <w:rFonts w:ascii="Times New Roman" w:eastAsia="Times New Roman" w:hAnsi="Times New Roman" w:cs="Times New Roman"/>
          <w:color w:val="000000" w:themeColor="text1"/>
          <w:lang w:eastAsia="es-ES"/>
        </w:rPr>
        <w:t xml:space="preserve"> como punto de encuentro o vitrina entre la oferta y la demanda de productos o servicios circulares</w:t>
      </w:r>
      <w:r w:rsidR="007B732E" w:rsidRPr="007F4E9F">
        <w:rPr>
          <w:rFonts w:ascii="Times New Roman" w:eastAsia="Times New Roman" w:hAnsi="Times New Roman" w:cs="Times New Roman"/>
          <w:color w:val="000000" w:themeColor="text1"/>
          <w:lang w:eastAsia="es-ES"/>
        </w:rPr>
        <w:t xml:space="preserve">. </w:t>
      </w:r>
    </w:p>
    <w:p w14:paraId="64654002" w14:textId="1B557494" w:rsidR="007B732E" w:rsidRPr="007F4E9F" w:rsidRDefault="007B732E" w:rsidP="0032235A">
      <w:pPr>
        <w:spacing w:after="0" w:line="240" w:lineRule="auto"/>
        <w:jc w:val="both"/>
        <w:rPr>
          <w:rFonts w:ascii="Times New Roman" w:eastAsia="Times New Roman" w:hAnsi="Times New Roman" w:cs="Times New Roman"/>
          <w:color w:val="000000" w:themeColor="text1"/>
          <w:lang w:eastAsia="es-ES"/>
        </w:rPr>
      </w:pPr>
    </w:p>
    <w:p w14:paraId="553B1A59" w14:textId="77777777" w:rsidR="007B732E" w:rsidRPr="007F4E9F" w:rsidRDefault="007B732E" w:rsidP="0032235A">
      <w:pPr>
        <w:pStyle w:val="Heading4"/>
        <w:jc w:val="both"/>
        <w:rPr>
          <w:rFonts w:ascii="Times New Roman" w:hAnsi="Times New Roman"/>
        </w:rPr>
      </w:pPr>
      <w:bookmarkStart w:id="78" w:name="_Toc226750203"/>
      <w:r w:rsidRPr="007F4E9F">
        <w:rPr>
          <w:rFonts w:ascii="Times New Roman" w:hAnsi="Times New Roman"/>
        </w:rPr>
        <w:t>Revisión de evidencias y productos técnicos entregados.</w:t>
      </w:r>
      <w:bookmarkEnd w:id="78"/>
    </w:p>
    <w:p w14:paraId="1A7134CE" w14:textId="0E827CAD" w:rsidR="00877F0B" w:rsidRPr="007F4E9F" w:rsidRDefault="00877F0B" w:rsidP="0032235A">
      <w:pPr>
        <w:spacing w:after="0" w:line="240" w:lineRule="auto"/>
        <w:jc w:val="both"/>
        <w:rPr>
          <w:rFonts w:ascii="Times New Roman" w:hAnsi="Times New Roman"/>
        </w:rPr>
      </w:pPr>
      <w:r w:rsidRPr="007F4E9F">
        <w:rPr>
          <w:rFonts w:ascii="Times New Roman" w:eastAsia="Times New Roman" w:hAnsi="Times New Roman"/>
          <w:color w:val="000000" w:themeColor="text1"/>
          <w:lang w:eastAsia="es-ES"/>
        </w:rPr>
        <w:t xml:space="preserve">Para el cumplimiento de las metas correspondientes al </w:t>
      </w:r>
      <w:r w:rsidR="0037582D" w:rsidRPr="007F4E9F">
        <w:rPr>
          <w:rFonts w:ascii="Times New Roman" w:eastAsia="Times New Roman" w:hAnsi="Times New Roman"/>
          <w:color w:val="000000" w:themeColor="text1"/>
          <w:lang w:eastAsia="es-ES"/>
        </w:rPr>
        <w:t>resultado</w:t>
      </w:r>
      <w:r w:rsidRPr="007F4E9F">
        <w:rPr>
          <w:rFonts w:ascii="Times New Roman" w:eastAsia="Times New Roman" w:hAnsi="Times New Roman"/>
          <w:color w:val="000000" w:themeColor="text1"/>
          <w:lang w:eastAsia="es-ES"/>
        </w:rPr>
        <w:t xml:space="preserve"> </w:t>
      </w:r>
      <w:r w:rsidRPr="007F4E9F">
        <w:rPr>
          <w:rFonts w:ascii="Times New Roman" w:hAnsi="Times New Roman"/>
        </w:rPr>
        <w:t>1.</w:t>
      </w:r>
      <w:r w:rsidR="0037582D" w:rsidRPr="00FC1E96">
        <w:rPr>
          <w:rFonts w:ascii="Times New Roman" w:hAnsi="Times New Roman" w:cs="Times New Roman"/>
          <w:i/>
          <w:iCs/>
        </w:rPr>
        <w:t xml:space="preserve"> Número de residuos y/o subproductos gestionados por la plataforma</w:t>
      </w:r>
      <w:r w:rsidRPr="007F4E9F">
        <w:rPr>
          <w:rFonts w:ascii="Times New Roman" w:hAnsi="Times New Roman"/>
        </w:rPr>
        <w:t xml:space="preserve"> se relacionan las cantidades reportadas por la Secretaría Distrital de Ambiente en el reporte con corte a 28 de enero del 2026. Se reportan en total 2306,29 toneladas de materiales tal y como lo presenta la Tabla 10.</w:t>
      </w:r>
    </w:p>
    <w:p w14:paraId="3EF5A9A0" w14:textId="77777777" w:rsidR="00603D77" w:rsidRPr="007F4E9F" w:rsidRDefault="00603D77" w:rsidP="0032235A">
      <w:pPr>
        <w:spacing w:after="0" w:line="240" w:lineRule="auto"/>
        <w:jc w:val="both"/>
        <w:rPr>
          <w:rFonts w:ascii="Times New Roman" w:hAnsi="Times New Roman" w:cs="Times New Roman"/>
        </w:rPr>
      </w:pPr>
    </w:p>
    <w:p w14:paraId="1064FD6B" w14:textId="1869AE2E" w:rsidR="00877F0B" w:rsidRPr="007F4E9F" w:rsidRDefault="00877F0B" w:rsidP="00877F0B">
      <w:pPr>
        <w:pStyle w:val="Caption"/>
        <w:keepNext/>
        <w:rPr>
          <w:rFonts w:ascii="Times New Roman" w:hAnsi="Times New Roman"/>
          <w:sz w:val="22"/>
        </w:rPr>
      </w:pPr>
      <w:bookmarkStart w:id="79" w:name="_Toc225500103"/>
      <w:bookmarkStart w:id="80" w:name="_Toc225848236"/>
      <w:r w:rsidRPr="007F4E9F">
        <w:rPr>
          <w:rFonts w:ascii="Times New Roman" w:hAnsi="Times New Roman"/>
          <w:sz w:val="22"/>
        </w:rPr>
        <w:t xml:space="preserve">Tabla </w:t>
      </w:r>
      <w:r w:rsidRPr="007F4E9F">
        <w:rPr>
          <w:rFonts w:ascii="Times New Roman" w:hAnsi="Times New Roman"/>
          <w:sz w:val="22"/>
        </w:rPr>
        <w:fldChar w:fldCharType="begin"/>
      </w:r>
      <w:r w:rsidRPr="007F4E9F">
        <w:rPr>
          <w:rFonts w:ascii="Times New Roman" w:hAnsi="Times New Roman"/>
          <w:sz w:val="22"/>
        </w:rPr>
        <w:instrText xml:space="preserve"> SEQ Tabla \* ARABIC </w:instrText>
      </w:r>
      <w:r w:rsidRPr="007F4E9F">
        <w:rPr>
          <w:rFonts w:ascii="Times New Roman" w:hAnsi="Times New Roman"/>
          <w:sz w:val="22"/>
        </w:rPr>
        <w:fldChar w:fldCharType="separate"/>
      </w:r>
      <w:r w:rsidR="00CB1A80" w:rsidRPr="007F4E9F">
        <w:rPr>
          <w:rFonts w:ascii="Times New Roman" w:hAnsi="Times New Roman"/>
          <w:noProof/>
          <w:sz w:val="22"/>
        </w:rPr>
        <w:t>10</w:t>
      </w:r>
      <w:r w:rsidRPr="007F4E9F">
        <w:rPr>
          <w:rFonts w:ascii="Times New Roman" w:hAnsi="Times New Roman"/>
          <w:sz w:val="22"/>
        </w:rPr>
        <w:fldChar w:fldCharType="end"/>
      </w:r>
      <w:r w:rsidRPr="007F4E9F">
        <w:rPr>
          <w:rFonts w:ascii="Times New Roman" w:hAnsi="Times New Roman"/>
          <w:sz w:val="22"/>
        </w:rPr>
        <w:t xml:space="preserve"> </w:t>
      </w:r>
      <w:r w:rsidRPr="007F4E9F">
        <w:rPr>
          <w:rFonts w:ascii="Times New Roman" w:hAnsi="Times New Roman"/>
          <w:i/>
          <w:iCs/>
          <w:sz w:val="22"/>
        </w:rPr>
        <w:t>Cantidades reportadas por sector</w:t>
      </w:r>
      <w:bookmarkEnd w:id="79"/>
      <w:bookmarkEnd w:id="80"/>
    </w:p>
    <w:tbl>
      <w:tblPr>
        <w:tblStyle w:val="TableGrid"/>
        <w:tblW w:w="0" w:type="auto"/>
        <w:tblLook w:val="04A0" w:firstRow="1" w:lastRow="0" w:firstColumn="1" w:lastColumn="0" w:noHBand="0" w:noVBand="1"/>
      </w:tblPr>
      <w:tblGrid>
        <w:gridCol w:w="4315"/>
        <w:gridCol w:w="4315"/>
      </w:tblGrid>
      <w:tr w:rsidR="00877F0B" w:rsidRPr="007F4E9F" w14:paraId="4311D39F" w14:textId="77777777" w:rsidTr="000949EC">
        <w:tc>
          <w:tcPr>
            <w:tcW w:w="4315" w:type="dxa"/>
          </w:tcPr>
          <w:p w14:paraId="0D5A9B29" w14:textId="77777777" w:rsidR="00877F0B" w:rsidRPr="007F4E9F" w:rsidRDefault="00877F0B" w:rsidP="000949EC">
            <w:pPr>
              <w:rPr>
                <w:rFonts w:ascii="Times New Roman" w:hAnsi="Times New Roman"/>
              </w:rPr>
            </w:pPr>
            <w:commentRangeStart w:id="81"/>
            <w:r w:rsidRPr="007F4E9F">
              <w:rPr>
                <w:rFonts w:ascii="Times New Roman" w:hAnsi="Times New Roman"/>
              </w:rPr>
              <w:t>Sector</w:t>
            </w:r>
            <w:commentRangeEnd w:id="81"/>
            <w:r w:rsidR="00EE571C" w:rsidRPr="007F4E9F">
              <w:rPr>
                <w:rStyle w:val="CommentReference"/>
                <w:rFonts w:ascii="Times New Roman" w:hAnsi="Times New Roman"/>
                <w:sz w:val="22"/>
                <w:szCs w:val="22"/>
              </w:rPr>
              <w:commentReference w:id="81"/>
            </w:r>
          </w:p>
        </w:tc>
        <w:tc>
          <w:tcPr>
            <w:tcW w:w="4315" w:type="dxa"/>
          </w:tcPr>
          <w:p w14:paraId="67FF2A97" w14:textId="77777777" w:rsidR="00877F0B" w:rsidRPr="007F4E9F" w:rsidRDefault="00877F0B" w:rsidP="000949EC">
            <w:pPr>
              <w:rPr>
                <w:rFonts w:ascii="Times New Roman" w:hAnsi="Times New Roman"/>
              </w:rPr>
            </w:pPr>
            <w:r w:rsidRPr="007F4E9F">
              <w:rPr>
                <w:rFonts w:ascii="Times New Roman" w:hAnsi="Times New Roman"/>
              </w:rPr>
              <w:t>Cantidad (Toneladas)</w:t>
            </w:r>
          </w:p>
        </w:tc>
      </w:tr>
      <w:tr w:rsidR="00877F0B" w:rsidRPr="007F4E9F" w14:paraId="50DED91F" w14:textId="77777777" w:rsidTr="000949EC">
        <w:tc>
          <w:tcPr>
            <w:tcW w:w="4315" w:type="dxa"/>
          </w:tcPr>
          <w:p w14:paraId="1DF062C4" w14:textId="77777777" w:rsidR="00877F0B" w:rsidRPr="007F4E9F" w:rsidRDefault="00877F0B" w:rsidP="000949EC">
            <w:pPr>
              <w:rPr>
                <w:rFonts w:ascii="Times New Roman" w:hAnsi="Times New Roman"/>
              </w:rPr>
            </w:pPr>
            <w:r w:rsidRPr="007F4E9F">
              <w:rPr>
                <w:rFonts w:ascii="Times New Roman" w:hAnsi="Times New Roman"/>
              </w:rPr>
              <w:t>Textil</w:t>
            </w:r>
          </w:p>
        </w:tc>
        <w:tc>
          <w:tcPr>
            <w:tcW w:w="4315" w:type="dxa"/>
          </w:tcPr>
          <w:p w14:paraId="2A09B12D" w14:textId="77777777" w:rsidR="00877F0B" w:rsidRPr="007F4E9F" w:rsidRDefault="00877F0B" w:rsidP="000949EC">
            <w:pPr>
              <w:rPr>
                <w:rFonts w:ascii="Times New Roman" w:hAnsi="Times New Roman"/>
              </w:rPr>
            </w:pPr>
            <w:r w:rsidRPr="007F4E9F">
              <w:rPr>
                <w:rFonts w:ascii="Times New Roman" w:hAnsi="Times New Roman"/>
              </w:rPr>
              <w:t>116,08</w:t>
            </w:r>
          </w:p>
        </w:tc>
      </w:tr>
      <w:tr w:rsidR="00877F0B" w:rsidRPr="007F4E9F" w14:paraId="2126C4E5" w14:textId="77777777" w:rsidTr="000949EC">
        <w:tc>
          <w:tcPr>
            <w:tcW w:w="4315" w:type="dxa"/>
          </w:tcPr>
          <w:p w14:paraId="103C68EF" w14:textId="77777777" w:rsidR="00877F0B" w:rsidRPr="007F4E9F" w:rsidRDefault="00877F0B" w:rsidP="000949EC">
            <w:pPr>
              <w:rPr>
                <w:rFonts w:ascii="Times New Roman" w:hAnsi="Times New Roman"/>
              </w:rPr>
            </w:pPr>
            <w:r w:rsidRPr="007F4E9F">
              <w:rPr>
                <w:rFonts w:ascii="Times New Roman" w:hAnsi="Times New Roman"/>
              </w:rPr>
              <w:t>Alimentos</w:t>
            </w:r>
          </w:p>
        </w:tc>
        <w:tc>
          <w:tcPr>
            <w:tcW w:w="4315" w:type="dxa"/>
          </w:tcPr>
          <w:p w14:paraId="78925729" w14:textId="77777777" w:rsidR="00877F0B" w:rsidRPr="007F4E9F" w:rsidRDefault="00877F0B" w:rsidP="000949EC">
            <w:pPr>
              <w:rPr>
                <w:rFonts w:ascii="Times New Roman" w:hAnsi="Times New Roman"/>
              </w:rPr>
            </w:pPr>
            <w:r w:rsidRPr="007F4E9F">
              <w:rPr>
                <w:rFonts w:ascii="Times New Roman" w:hAnsi="Times New Roman"/>
              </w:rPr>
              <w:t>0,00</w:t>
            </w:r>
          </w:p>
        </w:tc>
      </w:tr>
      <w:tr w:rsidR="00877F0B" w:rsidRPr="007F4E9F" w14:paraId="03F7FAF6" w14:textId="77777777" w:rsidTr="000949EC">
        <w:tc>
          <w:tcPr>
            <w:tcW w:w="4315" w:type="dxa"/>
          </w:tcPr>
          <w:p w14:paraId="675C488D" w14:textId="1EFDE0A8" w:rsidR="00877F0B" w:rsidRPr="007F4E9F" w:rsidRDefault="0037582D" w:rsidP="000949EC">
            <w:pPr>
              <w:rPr>
                <w:rFonts w:ascii="Times New Roman" w:hAnsi="Times New Roman"/>
              </w:rPr>
            </w:pPr>
            <w:r w:rsidRPr="007F4E9F">
              <w:rPr>
                <w:rFonts w:ascii="Times New Roman" w:hAnsi="Times New Roman"/>
              </w:rPr>
              <w:t>Plásticos</w:t>
            </w:r>
            <w:r w:rsidR="00877F0B" w:rsidRPr="007F4E9F">
              <w:rPr>
                <w:rFonts w:ascii="Times New Roman" w:hAnsi="Times New Roman"/>
              </w:rPr>
              <w:t xml:space="preserve"> (PET, HDPE, PVC, etc.)</w:t>
            </w:r>
          </w:p>
        </w:tc>
        <w:tc>
          <w:tcPr>
            <w:tcW w:w="4315" w:type="dxa"/>
          </w:tcPr>
          <w:p w14:paraId="5A582E60" w14:textId="77777777" w:rsidR="00877F0B" w:rsidRPr="007F4E9F" w:rsidRDefault="00877F0B" w:rsidP="000949EC">
            <w:pPr>
              <w:rPr>
                <w:rFonts w:ascii="Times New Roman" w:hAnsi="Times New Roman"/>
              </w:rPr>
            </w:pPr>
            <w:r w:rsidRPr="007F4E9F">
              <w:rPr>
                <w:rFonts w:ascii="Times New Roman" w:hAnsi="Times New Roman"/>
              </w:rPr>
              <w:t>4,00</w:t>
            </w:r>
          </w:p>
        </w:tc>
      </w:tr>
      <w:tr w:rsidR="00877F0B" w:rsidRPr="007F4E9F" w14:paraId="2B43677B" w14:textId="77777777" w:rsidTr="000949EC">
        <w:tc>
          <w:tcPr>
            <w:tcW w:w="4315" w:type="dxa"/>
          </w:tcPr>
          <w:p w14:paraId="5B6359ED" w14:textId="75F90903" w:rsidR="00877F0B" w:rsidRPr="007F4E9F" w:rsidRDefault="0037582D" w:rsidP="000949EC">
            <w:pPr>
              <w:rPr>
                <w:rFonts w:ascii="Times New Roman" w:hAnsi="Times New Roman"/>
              </w:rPr>
            </w:pPr>
            <w:r w:rsidRPr="007F4E9F">
              <w:rPr>
                <w:rFonts w:ascii="Times New Roman" w:hAnsi="Times New Roman"/>
              </w:rPr>
              <w:t>Construcción</w:t>
            </w:r>
            <w:r w:rsidR="00877F0B" w:rsidRPr="007F4E9F">
              <w:rPr>
                <w:rFonts w:ascii="Times New Roman" w:hAnsi="Times New Roman"/>
              </w:rPr>
              <w:t xml:space="preserve"> (residuos de </w:t>
            </w:r>
            <w:r w:rsidRPr="007F4E9F">
              <w:rPr>
                <w:rFonts w:ascii="Times New Roman" w:hAnsi="Times New Roman"/>
              </w:rPr>
              <w:t>construcción</w:t>
            </w:r>
            <w:r w:rsidR="00877F0B" w:rsidRPr="007F4E9F">
              <w:rPr>
                <w:rFonts w:ascii="Times New Roman" w:hAnsi="Times New Roman"/>
              </w:rPr>
              <w:t xml:space="preserve"> y </w:t>
            </w:r>
            <w:r w:rsidRPr="007F4E9F">
              <w:rPr>
                <w:rFonts w:ascii="Times New Roman" w:hAnsi="Times New Roman"/>
              </w:rPr>
              <w:t>demolición</w:t>
            </w:r>
            <w:r w:rsidR="00877F0B" w:rsidRPr="007F4E9F">
              <w:rPr>
                <w:rFonts w:ascii="Times New Roman" w:hAnsi="Times New Roman"/>
              </w:rPr>
              <w:t>)</w:t>
            </w:r>
          </w:p>
        </w:tc>
        <w:tc>
          <w:tcPr>
            <w:tcW w:w="4315" w:type="dxa"/>
          </w:tcPr>
          <w:p w14:paraId="0D7DB989" w14:textId="77777777" w:rsidR="00877F0B" w:rsidRPr="007F4E9F" w:rsidRDefault="00877F0B" w:rsidP="000949EC">
            <w:pPr>
              <w:rPr>
                <w:rFonts w:ascii="Times New Roman" w:hAnsi="Times New Roman"/>
              </w:rPr>
            </w:pPr>
            <w:commentRangeStart w:id="82"/>
            <w:r w:rsidRPr="007F4E9F">
              <w:rPr>
                <w:rFonts w:ascii="Times New Roman" w:hAnsi="Times New Roman"/>
              </w:rPr>
              <w:t>6.250.000</w:t>
            </w:r>
            <w:commentRangeEnd w:id="82"/>
            <w:r w:rsidR="00EE571C" w:rsidRPr="007F4E9F">
              <w:rPr>
                <w:rStyle w:val="CommentReference"/>
                <w:rFonts w:ascii="Times New Roman" w:hAnsi="Times New Roman"/>
                <w:sz w:val="22"/>
                <w:szCs w:val="22"/>
              </w:rPr>
              <w:commentReference w:id="82"/>
            </w:r>
          </w:p>
        </w:tc>
      </w:tr>
      <w:tr w:rsidR="00877F0B" w:rsidRPr="007F4E9F" w14:paraId="543BFD1B" w14:textId="77777777" w:rsidTr="000949EC">
        <w:tc>
          <w:tcPr>
            <w:tcW w:w="4315" w:type="dxa"/>
          </w:tcPr>
          <w:p w14:paraId="53E5A1B0" w14:textId="77777777" w:rsidR="00877F0B" w:rsidRPr="007F4E9F" w:rsidRDefault="00877F0B" w:rsidP="000949EC">
            <w:pPr>
              <w:rPr>
                <w:rFonts w:ascii="Times New Roman" w:hAnsi="Times New Roman"/>
              </w:rPr>
            </w:pPr>
            <w:r w:rsidRPr="007F4E9F">
              <w:rPr>
                <w:rFonts w:ascii="Times New Roman" w:hAnsi="Times New Roman"/>
              </w:rPr>
              <w:t>Residuos de Aparatos Eléctricos y Electrónicos (RAEE)</w:t>
            </w:r>
          </w:p>
        </w:tc>
        <w:tc>
          <w:tcPr>
            <w:tcW w:w="4315" w:type="dxa"/>
          </w:tcPr>
          <w:p w14:paraId="2B78CC22" w14:textId="77777777" w:rsidR="00877F0B" w:rsidRPr="007F4E9F" w:rsidRDefault="00877F0B" w:rsidP="000949EC">
            <w:pPr>
              <w:rPr>
                <w:rFonts w:ascii="Times New Roman" w:hAnsi="Times New Roman"/>
              </w:rPr>
            </w:pPr>
            <w:r w:rsidRPr="007F4E9F">
              <w:rPr>
                <w:rFonts w:ascii="Times New Roman" w:hAnsi="Times New Roman"/>
              </w:rPr>
              <w:t>128,91</w:t>
            </w:r>
          </w:p>
        </w:tc>
      </w:tr>
      <w:tr w:rsidR="00877F0B" w:rsidRPr="007F4E9F" w14:paraId="74DB5C53" w14:textId="77777777" w:rsidTr="000949EC">
        <w:tc>
          <w:tcPr>
            <w:tcW w:w="4315" w:type="dxa"/>
          </w:tcPr>
          <w:p w14:paraId="1C69DCF6" w14:textId="77777777" w:rsidR="00877F0B" w:rsidRPr="007F4E9F" w:rsidRDefault="00877F0B" w:rsidP="000949EC">
            <w:pPr>
              <w:rPr>
                <w:rFonts w:ascii="Times New Roman" w:hAnsi="Times New Roman"/>
              </w:rPr>
            </w:pPr>
            <w:r w:rsidRPr="007F4E9F">
              <w:rPr>
                <w:rFonts w:ascii="Times New Roman" w:hAnsi="Times New Roman"/>
              </w:rPr>
              <w:t>Aceite Vegetal Usado</w:t>
            </w:r>
          </w:p>
        </w:tc>
        <w:tc>
          <w:tcPr>
            <w:tcW w:w="4315" w:type="dxa"/>
          </w:tcPr>
          <w:p w14:paraId="244E8F47" w14:textId="77777777" w:rsidR="00877F0B" w:rsidRPr="007F4E9F" w:rsidRDefault="00877F0B" w:rsidP="000949EC">
            <w:pPr>
              <w:rPr>
                <w:rFonts w:ascii="Times New Roman" w:hAnsi="Times New Roman"/>
              </w:rPr>
            </w:pPr>
            <w:r w:rsidRPr="007F4E9F">
              <w:rPr>
                <w:rFonts w:ascii="Times New Roman" w:hAnsi="Times New Roman"/>
              </w:rPr>
              <w:t>2057,3</w:t>
            </w:r>
          </w:p>
        </w:tc>
      </w:tr>
      <w:tr w:rsidR="00877F0B" w:rsidRPr="007F4E9F" w14:paraId="7E34F7AF" w14:textId="77777777" w:rsidTr="000949EC">
        <w:tc>
          <w:tcPr>
            <w:tcW w:w="4315" w:type="dxa"/>
          </w:tcPr>
          <w:p w14:paraId="1E71CB93" w14:textId="77777777" w:rsidR="00877F0B" w:rsidRPr="007F4E9F" w:rsidRDefault="00877F0B" w:rsidP="000949EC">
            <w:pPr>
              <w:rPr>
                <w:rFonts w:ascii="Times New Roman" w:hAnsi="Times New Roman"/>
                <w:b/>
                <w:bCs/>
              </w:rPr>
            </w:pPr>
            <w:r w:rsidRPr="007F4E9F">
              <w:rPr>
                <w:rFonts w:ascii="Times New Roman" w:hAnsi="Times New Roman"/>
                <w:b/>
                <w:bCs/>
              </w:rPr>
              <w:t>Total</w:t>
            </w:r>
          </w:p>
        </w:tc>
        <w:tc>
          <w:tcPr>
            <w:tcW w:w="4315" w:type="dxa"/>
          </w:tcPr>
          <w:p w14:paraId="0E9B7DC7" w14:textId="77777777" w:rsidR="00877F0B" w:rsidRPr="007F4E9F" w:rsidRDefault="00877F0B" w:rsidP="000949EC">
            <w:pPr>
              <w:rPr>
                <w:rFonts w:ascii="Times New Roman" w:hAnsi="Times New Roman"/>
                <w:b/>
                <w:bCs/>
              </w:rPr>
            </w:pPr>
            <w:r w:rsidRPr="007F4E9F">
              <w:rPr>
                <w:rFonts w:ascii="Times New Roman" w:hAnsi="Times New Roman"/>
                <w:b/>
                <w:bCs/>
              </w:rPr>
              <w:t>2306,29</w:t>
            </w:r>
          </w:p>
        </w:tc>
      </w:tr>
    </w:tbl>
    <w:p w14:paraId="510EDDD9" w14:textId="77777777" w:rsidR="00877F0B" w:rsidRPr="007F4E9F" w:rsidRDefault="00877F0B" w:rsidP="00877F0B">
      <w:pPr>
        <w:spacing w:line="240" w:lineRule="auto"/>
        <w:rPr>
          <w:rFonts w:ascii="Times New Roman" w:hAnsi="Times New Roman"/>
        </w:rPr>
      </w:pPr>
      <w:r w:rsidRPr="007F4E9F">
        <w:rPr>
          <w:rFonts w:ascii="Times New Roman" w:hAnsi="Times New Roman"/>
        </w:rPr>
        <w:t xml:space="preserve">Fuente: Equipo proyecto SEGAE, Informe semestral 8 </w:t>
      </w:r>
    </w:p>
    <w:p w14:paraId="55302DFF" w14:textId="346161C2" w:rsidR="00FC2DBD" w:rsidRPr="007F4E9F" w:rsidRDefault="00FC2DBD" w:rsidP="0032235A">
      <w:pPr>
        <w:spacing w:after="0" w:line="240" w:lineRule="auto"/>
        <w:jc w:val="both"/>
        <w:rPr>
          <w:rFonts w:ascii="Times New Roman" w:hAnsi="Times New Roman" w:cs="Times New Roman"/>
        </w:rPr>
      </w:pPr>
    </w:p>
    <w:p w14:paraId="16C3906D" w14:textId="0E3E6E65" w:rsidR="00B125BE" w:rsidRPr="007F4E9F" w:rsidRDefault="00FC2DBD" w:rsidP="0032235A">
      <w:pPr>
        <w:jc w:val="both"/>
        <w:rPr>
          <w:rFonts w:ascii="Times New Roman" w:hAnsi="Times New Roman" w:cs="Times New Roman"/>
        </w:rPr>
      </w:pPr>
      <w:r w:rsidRPr="007F4E9F">
        <w:rPr>
          <w:rFonts w:ascii="Times New Roman" w:hAnsi="Times New Roman" w:cs="Times New Roman"/>
        </w:rPr>
        <w:t xml:space="preserve">Con respecto al output </w:t>
      </w:r>
      <w:r w:rsidRPr="007F4E9F">
        <w:rPr>
          <w:rFonts w:ascii="Times New Roman" w:hAnsi="Times New Roman" w:cs="Times New Roman"/>
          <w:i/>
          <w:iCs/>
        </w:rPr>
        <w:t xml:space="preserve">1.1 </w:t>
      </w:r>
      <w:r w:rsidR="0037582D" w:rsidRPr="007F4E9F">
        <w:rPr>
          <w:rFonts w:ascii="Times New Roman" w:hAnsi="Times New Roman" w:cs="Times New Roman"/>
          <w:i/>
          <w:iCs/>
        </w:rPr>
        <w:t>Plataformas virtuales diseñadas</w:t>
      </w:r>
      <w:r w:rsidRPr="007F4E9F">
        <w:rPr>
          <w:rFonts w:ascii="Times New Roman" w:hAnsi="Times New Roman" w:cs="Times New Roman"/>
          <w:i/>
          <w:iCs/>
        </w:rPr>
        <w:t>,</w:t>
      </w:r>
      <w:r w:rsidRPr="007F4E9F">
        <w:rPr>
          <w:rFonts w:ascii="Times New Roman" w:hAnsi="Times New Roman" w:cs="Times New Roman"/>
        </w:rPr>
        <w:t xml:space="preserve"> </w:t>
      </w:r>
      <w:r w:rsidR="00B125BE" w:rsidRPr="007F4E9F">
        <w:rPr>
          <w:rFonts w:ascii="Times New Roman" w:hAnsi="Times New Roman" w:cs="Times New Roman"/>
        </w:rPr>
        <w:t xml:space="preserve">las evidencias y productos técnicos entregados, tal y como se </w:t>
      </w:r>
      <w:r w:rsidR="008E2447" w:rsidRPr="007F4E9F">
        <w:rPr>
          <w:rFonts w:ascii="Times New Roman" w:hAnsi="Times New Roman" w:cs="Times New Roman"/>
        </w:rPr>
        <w:t>consolida en la tabla 8</w:t>
      </w:r>
      <w:r w:rsidR="00B125BE" w:rsidRPr="007F4E9F">
        <w:rPr>
          <w:rFonts w:ascii="Times New Roman" w:hAnsi="Times New Roman" w:cs="Times New Roman"/>
        </w:rPr>
        <w:t xml:space="preserve">, Se puede constatar que los </w:t>
      </w:r>
      <w:r w:rsidR="006446A1" w:rsidRPr="007F4E9F">
        <w:rPr>
          <w:rFonts w:ascii="Times New Roman" w:hAnsi="Times New Roman" w:cs="Times New Roman"/>
        </w:rPr>
        <w:t xml:space="preserve">productos y evidencias entregados corresponden a los productos convenidos en el contrato de construcción de la plataforma con la empresa ADA </w:t>
      </w:r>
      <w:r w:rsidR="006446A1" w:rsidRPr="007F4E9F">
        <w:rPr>
          <w:rFonts w:ascii="Times New Roman" w:hAnsi="Times New Roman" w:cs="Times New Roman"/>
          <w:i/>
          <w:iCs/>
        </w:rPr>
        <w:t>shared services solutions</w:t>
      </w:r>
      <w:r w:rsidR="006446A1" w:rsidRPr="007F4E9F">
        <w:rPr>
          <w:rFonts w:ascii="Times New Roman" w:hAnsi="Times New Roman" w:cs="Times New Roman"/>
        </w:rPr>
        <w:t xml:space="preserve"> bajo el contrato No. SDA-20231661. La tabla 8 resume cada uno de los productos</w:t>
      </w:r>
      <w:r w:rsidR="00A16D50" w:rsidRPr="007F4E9F">
        <w:rPr>
          <w:rFonts w:ascii="Times New Roman" w:hAnsi="Times New Roman" w:cs="Times New Roman"/>
        </w:rPr>
        <w:t>.</w:t>
      </w:r>
      <w:r w:rsidR="006446A1" w:rsidRPr="007F4E9F">
        <w:rPr>
          <w:rFonts w:ascii="Times New Roman" w:hAnsi="Times New Roman" w:cs="Times New Roman"/>
        </w:rPr>
        <w:t xml:space="preserve"> </w:t>
      </w:r>
    </w:p>
    <w:p w14:paraId="223F20A5" w14:textId="55971B8A" w:rsidR="006446A1" w:rsidRPr="007F4E9F" w:rsidRDefault="006446A1" w:rsidP="0032235A">
      <w:pPr>
        <w:pStyle w:val="Heading5"/>
        <w:jc w:val="both"/>
        <w:rPr>
          <w:rFonts w:ascii="Times New Roman" w:hAnsi="Times New Roman" w:cs="Times New Roman"/>
        </w:rPr>
      </w:pPr>
      <w:bookmarkStart w:id="83" w:name="_Toc226750204"/>
      <w:r w:rsidRPr="007F4E9F">
        <w:rPr>
          <w:rFonts w:ascii="Times New Roman" w:hAnsi="Times New Roman" w:cs="Times New Roman"/>
        </w:rPr>
        <w:t>Percepciones de los grupos de interés</w:t>
      </w:r>
      <w:bookmarkEnd w:id="83"/>
      <w:r w:rsidRPr="007F4E9F">
        <w:rPr>
          <w:rFonts w:ascii="Times New Roman" w:hAnsi="Times New Roman" w:cs="Times New Roman"/>
        </w:rPr>
        <w:t xml:space="preserve"> </w:t>
      </w:r>
    </w:p>
    <w:p w14:paraId="7E9E66F1" w14:textId="77777777" w:rsidR="00A16E01" w:rsidRPr="007F4E9F" w:rsidRDefault="006446A1" w:rsidP="00A16E01">
      <w:pPr>
        <w:spacing w:after="0" w:line="240" w:lineRule="auto"/>
        <w:jc w:val="both"/>
        <w:rPr>
          <w:rFonts w:ascii="Times New Roman" w:hAnsi="Times New Roman" w:cs="Times New Roman"/>
        </w:rPr>
      </w:pPr>
      <w:r w:rsidRPr="007F4E9F">
        <w:rPr>
          <w:rFonts w:ascii="Times New Roman" w:hAnsi="Times New Roman" w:cs="Times New Roman"/>
        </w:rPr>
        <w:t>Para determinar las percepciones de los grupos de interés, se tuvo en cu</w:t>
      </w:r>
      <w:r w:rsidR="000D3811" w:rsidRPr="007F4E9F">
        <w:rPr>
          <w:rFonts w:ascii="Times New Roman" w:hAnsi="Times New Roman" w:cs="Times New Roman"/>
        </w:rPr>
        <w:t>e</w:t>
      </w:r>
      <w:r w:rsidRPr="007F4E9F">
        <w:rPr>
          <w:rFonts w:ascii="Times New Roman" w:hAnsi="Times New Roman" w:cs="Times New Roman"/>
        </w:rPr>
        <w:t>nt</w:t>
      </w:r>
      <w:r w:rsidR="000D3811" w:rsidRPr="007F4E9F">
        <w:rPr>
          <w:rFonts w:ascii="Times New Roman" w:hAnsi="Times New Roman" w:cs="Times New Roman"/>
        </w:rPr>
        <w:t>a</w:t>
      </w:r>
      <w:r w:rsidRPr="007F4E9F">
        <w:rPr>
          <w:rFonts w:ascii="Times New Roman" w:hAnsi="Times New Roman" w:cs="Times New Roman"/>
        </w:rPr>
        <w:t xml:space="preserve"> la percepción de los usuarios </w:t>
      </w:r>
      <w:r w:rsidR="00A77312" w:rsidRPr="007F4E9F">
        <w:rPr>
          <w:rFonts w:ascii="Times New Roman" w:hAnsi="Times New Roman" w:cs="Times New Roman"/>
        </w:rPr>
        <w:t xml:space="preserve">empresariales </w:t>
      </w:r>
      <w:r w:rsidRPr="007F4E9F">
        <w:rPr>
          <w:rFonts w:ascii="Times New Roman" w:hAnsi="Times New Roman" w:cs="Times New Roman"/>
        </w:rPr>
        <w:t>de la plataforma</w:t>
      </w:r>
      <w:r w:rsidR="00FA7DCF" w:rsidRPr="007F4E9F">
        <w:rPr>
          <w:rFonts w:ascii="Times New Roman" w:hAnsi="Times New Roman" w:cs="Times New Roman"/>
        </w:rPr>
        <w:t xml:space="preserve"> en la medida que la plataforma cumpla con el objetivo general del proyecto de conectar la oferta y la demanda de bienes y servicios circulares. </w:t>
      </w:r>
      <w:r w:rsidR="00A16E01" w:rsidRPr="007F4E9F">
        <w:rPr>
          <w:rFonts w:ascii="Times New Roman" w:hAnsi="Times New Roman" w:cs="Times New Roman"/>
        </w:rPr>
        <w:t xml:space="preserve">Las siguientes preguntas se aplicaron a los usuarios de la plataforma: </w:t>
      </w:r>
    </w:p>
    <w:p w14:paraId="1DE03379" w14:textId="77777777" w:rsidR="00A16E01" w:rsidRPr="007F4E9F" w:rsidRDefault="00A16E01" w:rsidP="00A16E01">
      <w:pPr>
        <w:spacing w:after="0" w:line="240" w:lineRule="auto"/>
        <w:jc w:val="both"/>
        <w:rPr>
          <w:rFonts w:ascii="Times New Roman" w:hAnsi="Times New Roman" w:cs="Times New Roman"/>
        </w:rPr>
      </w:pPr>
    </w:p>
    <w:tbl>
      <w:tblPr>
        <w:tblStyle w:val="TableGrid"/>
        <w:tblW w:w="5000" w:type="pct"/>
        <w:tblBorders>
          <w:insideH w:val="none" w:sz="0" w:space="0" w:color="auto"/>
          <w:insideV w:val="none" w:sz="0" w:space="0" w:color="auto"/>
        </w:tblBorders>
        <w:tblLook w:val="04A0" w:firstRow="1" w:lastRow="0" w:firstColumn="1" w:lastColumn="0" w:noHBand="0" w:noVBand="1"/>
      </w:tblPr>
      <w:tblGrid>
        <w:gridCol w:w="8630"/>
      </w:tblGrid>
      <w:tr w:rsidR="00A16E01" w:rsidRPr="007F4E9F" w14:paraId="137DBEE4" w14:textId="77777777" w:rsidTr="000949EC">
        <w:tc>
          <w:tcPr>
            <w:tcW w:w="5000" w:type="pct"/>
          </w:tcPr>
          <w:p w14:paraId="4395C69E" w14:textId="77777777" w:rsidR="00A16E01" w:rsidRPr="007F4E9F" w:rsidRDefault="00A16E01" w:rsidP="000949EC">
            <w:pPr>
              <w:jc w:val="both"/>
              <w:rPr>
                <w:rFonts w:ascii="Times New Roman" w:hAnsi="Times New Roman"/>
              </w:rPr>
            </w:pPr>
            <w:r w:rsidRPr="007F4E9F">
              <w:rPr>
                <w:rFonts w:ascii="Times New Roman" w:hAnsi="Times New Roman"/>
              </w:rPr>
              <w:t>4. La plataforma me permitió registrar mis productos y contactar a otros usuarios de manera exitosa.</w:t>
            </w:r>
          </w:p>
          <w:p w14:paraId="3D236F9D" w14:textId="0E2BDBA3" w:rsidR="00580D7D" w:rsidRPr="007F4E9F" w:rsidRDefault="00580D7D" w:rsidP="000949EC">
            <w:pPr>
              <w:jc w:val="both"/>
              <w:rPr>
                <w:rFonts w:ascii="Times New Roman" w:hAnsi="Times New Roman"/>
              </w:rPr>
            </w:pPr>
          </w:p>
        </w:tc>
      </w:tr>
      <w:tr w:rsidR="00A16E01" w:rsidRPr="007F4E9F" w14:paraId="57E1F5AD" w14:textId="77777777" w:rsidTr="000949EC">
        <w:tc>
          <w:tcPr>
            <w:tcW w:w="5000" w:type="pct"/>
          </w:tcPr>
          <w:p w14:paraId="434ABE64" w14:textId="77777777" w:rsidR="00A16E01" w:rsidRPr="007F4E9F" w:rsidRDefault="00A16E01" w:rsidP="000949EC">
            <w:pPr>
              <w:jc w:val="both"/>
              <w:rPr>
                <w:rFonts w:ascii="Times New Roman" w:hAnsi="Times New Roman"/>
              </w:rPr>
            </w:pPr>
            <w:r w:rsidRPr="007F4E9F">
              <w:rPr>
                <w:rFonts w:ascii="Times New Roman" w:hAnsi="Times New Roman"/>
              </w:rPr>
              <w:t>5. Gracias a la plataforma, mi empresa pudo encontrar fácilmente opciones de compra o venta de productos circulares con empresas de la misma ciudad o alrededores.</w:t>
            </w:r>
          </w:p>
          <w:p w14:paraId="5A10F709" w14:textId="63F18366" w:rsidR="00580D7D" w:rsidRPr="007F4E9F" w:rsidRDefault="00580D7D" w:rsidP="000949EC">
            <w:pPr>
              <w:jc w:val="both"/>
              <w:rPr>
                <w:rFonts w:ascii="Times New Roman" w:hAnsi="Times New Roman"/>
              </w:rPr>
            </w:pPr>
          </w:p>
        </w:tc>
      </w:tr>
      <w:tr w:rsidR="00A16E01" w:rsidRPr="007F4E9F" w14:paraId="57AEF3D0" w14:textId="77777777" w:rsidTr="000949EC">
        <w:tc>
          <w:tcPr>
            <w:tcW w:w="5000" w:type="pct"/>
          </w:tcPr>
          <w:p w14:paraId="129ACCC9" w14:textId="6F12E502" w:rsidR="00A16E01" w:rsidRPr="007F4E9F" w:rsidRDefault="00A16E01" w:rsidP="000949EC">
            <w:pPr>
              <w:jc w:val="both"/>
              <w:rPr>
                <w:rFonts w:ascii="Times New Roman" w:hAnsi="Times New Roman"/>
              </w:rPr>
            </w:pPr>
            <w:r w:rsidRPr="007F4E9F">
              <w:rPr>
                <w:rFonts w:ascii="Times New Roman" w:hAnsi="Times New Roman"/>
              </w:rPr>
              <w:t>6. La plataforma permit</w:t>
            </w:r>
            <w:r w:rsidR="0037582D" w:rsidRPr="007F4E9F">
              <w:rPr>
                <w:rFonts w:ascii="Times New Roman" w:hAnsi="Times New Roman"/>
              </w:rPr>
              <w:t>í</w:t>
            </w:r>
            <w:r w:rsidRPr="007F4E9F">
              <w:rPr>
                <w:rFonts w:ascii="Times New Roman" w:hAnsi="Times New Roman"/>
              </w:rPr>
              <w:t>a que me enterara fácilmente de solicitud de compra o de contacto.</w:t>
            </w:r>
          </w:p>
        </w:tc>
      </w:tr>
    </w:tbl>
    <w:p w14:paraId="6DCC66A0" w14:textId="77777777" w:rsidR="00A16E01" w:rsidRPr="007F4E9F" w:rsidRDefault="00A16E01" w:rsidP="00A16E01">
      <w:pPr>
        <w:spacing w:after="0" w:line="240" w:lineRule="auto"/>
        <w:jc w:val="both"/>
        <w:rPr>
          <w:rFonts w:ascii="Times New Roman" w:hAnsi="Times New Roman" w:cs="Times New Roman"/>
        </w:rPr>
      </w:pPr>
    </w:p>
    <w:p w14:paraId="4614377C" w14:textId="33EDF10A" w:rsidR="00A77312" w:rsidRPr="007F4E9F" w:rsidRDefault="00A77312" w:rsidP="00A77312">
      <w:pPr>
        <w:spacing w:line="240" w:lineRule="auto"/>
        <w:jc w:val="both"/>
        <w:rPr>
          <w:rFonts w:ascii="Times New Roman" w:hAnsi="Times New Roman" w:cs="Times New Roman"/>
        </w:rPr>
      </w:pPr>
      <w:r w:rsidRPr="007F4E9F">
        <w:rPr>
          <w:rFonts w:ascii="Times New Roman" w:hAnsi="Times New Roman" w:cs="Times New Roman"/>
        </w:rPr>
        <w:t xml:space="preserve">Al evaluar la eficacia operativa de la plataforma desde la experiencia del usuario final, se observa un fuerte contraste estructural. Por un lado, la herramienta cumple con las etapas iniciales: 11 de los 21 encuestados confirma que el proceso de registro y creación de perfiles fue exitoso (pregunta 4). Sin embargo, la capacidad de los usuarios para completar la tarea crítica del proyecto (conectar oferta y demanda) fracasa en las fases posteriores debido a una grave falta de visibilidad del estado del sistema (pregunta 5). 14 de los 21 encuestados manifiesta que la plataforma no permite enterarse fácilmente de las solicitudes de compra o de contacto recibidas (Pregunta 6). </w:t>
      </w:r>
      <w:commentRangeStart w:id="84"/>
      <w:r w:rsidRPr="007F4E9F">
        <w:rPr>
          <w:rFonts w:ascii="Times New Roman" w:hAnsi="Times New Roman" w:cs="Times New Roman"/>
        </w:rPr>
        <w:t>Al carecer de notificaciones externas oportunas, la posibilidad de encontrar y concretar opciones de negocio reales se anula,</w:t>
      </w:r>
      <w:commentRangeEnd w:id="84"/>
      <w:r w:rsidR="00EE571C" w:rsidRPr="007F4E9F">
        <w:rPr>
          <w:rStyle w:val="CommentReference"/>
          <w:rFonts w:ascii="Times New Roman" w:hAnsi="Times New Roman" w:cs="Times New Roman"/>
          <w:sz w:val="22"/>
          <w:szCs w:val="22"/>
        </w:rPr>
        <w:commentReference w:id="84"/>
      </w:r>
      <w:r w:rsidRPr="007F4E9F">
        <w:rPr>
          <w:rFonts w:ascii="Times New Roman" w:hAnsi="Times New Roman" w:cs="Times New Roman"/>
        </w:rPr>
        <w:t xml:space="preserve"> evidenciando que el cumplimiento de la entrega tecnológica no se tradujo en una </w:t>
      </w:r>
      <w:commentRangeStart w:id="85"/>
      <w:r w:rsidRPr="007F4E9F">
        <w:rPr>
          <w:rFonts w:ascii="Times New Roman" w:hAnsi="Times New Roman" w:cs="Times New Roman"/>
        </w:rPr>
        <w:t>operatividad comercial exitosa</w:t>
      </w:r>
      <w:commentRangeEnd w:id="85"/>
      <w:r w:rsidR="00EE571C" w:rsidRPr="007F4E9F">
        <w:rPr>
          <w:rStyle w:val="CommentReference"/>
          <w:rFonts w:ascii="Times New Roman" w:hAnsi="Times New Roman" w:cs="Times New Roman"/>
          <w:sz w:val="22"/>
          <w:szCs w:val="22"/>
        </w:rPr>
        <w:commentReference w:id="85"/>
      </w:r>
      <w:r w:rsidRPr="007F4E9F">
        <w:rPr>
          <w:rFonts w:ascii="Times New Roman" w:hAnsi="Times New Roman" w:cs="Times New Roman"/>
        </w:rPr>
        <w:t>.</w:t>
      </w:r>
      <w:r w:rsidR="008330F3" w:rsidRPr="007F4E9F">
        <w:rPr>
          <w:rFonts w:ascii="Times New Roman" w:hAnsi="Times New Roman" w:cs="Times New Roman"/>
        </w:rPr>
        <w:t xml:space="preserve"> Ver figura 5. </w:t>
      </w:r>
    </w:p>
    <w:p w14:paraId="5DFEC3D2" w14:textId="77777777" w:rsidR="00603E3B" w:rsidRPr="007F4E9F" w:rsidRDefault="00A77312" w:rsidP="00603E3B">
      <w:pPr>
        <w:keepNext/>
        <w:spacing w:line="240" w:lineRule="auto"/>
        <w:jc w:val="both"/>
      </w:pPr>
      <w:r w:rsidRPr="007F4E9F">
        <w:rPr>
          <w:rFonts w:ascii="Times New Roman" w:hAnsi="Times New Roman"/>
          <w:noProof/>
        </w:rPr>
        <w:drawing>
          <wp:inline distT="0" distB="0" distL="0" distR="0" wp14:anchorId="17DE198C" wp14:editId="3E86DE29">
            <wp:extent cx="3987221" cy="2880000"/>
            <wp:effectExtent l="0" t="0" r="0" b="0"/>
            <wp:docPr id="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87221" cy="2880000"/>
                    </a:xfrm>
                    <a:prstGeom prst="rect">
                      <a:avLst/>
                    </a:prstGeom>
                    <a:noFill/>
                  </pic:spPr>
                </pic:pic>
              </a:graphicData>
            </a:graphic>
          </wp:inline>
        </w:drawing>
      </w:r>
    </w:p>
    <w:p w14:paraId="10A160DC" w14:textId="275C72F9" w:rsidR="00A77312" w:rsidRPr="007F4E9F" w:rsidRDefault="00603E3B" w:rsidP="00603E3B">
      <w:pPr>
        <w:pStyle w:val="Caption"/>
        <w:jc w:val="both"/>
        <w:rPr>
          <w:rFonts w:ascii="Times New Roman" w:hAnsi="Times New Roman" w:cs="Times New Roman"/>
          <w:sz w:val="22"/>
        </w:rPr>
      </w:pPr>
      <w:r w:rsidRPr="007F4E9F">
        <w:t xml:space="preserve">Figura </w:t>
      </w:r>
      <w:r w:rsidR="00AD38CF" w:rsidRPr="007F4E9F">
        <w:fldChar w:fldCharType="begin"/>
      </w:r>
      <w:r w:rsidR="00AD38CF" w:rsidRPr="007F4E9F">
        <w:instrText xml:space="preserve"> SEQ Figura \* ARABIC </w:instrText>
      </w:r>
      <w:r w:rsidR="00AD38CF" w:rsidRPr="007F4E9F">
        <w:fldChar w:fldCharType="separate"/>
      </w:r>
      <w:r w:rsidR="00966267" w:rsidRPr="007F4E9F">
        <w:rPr>
          <w:noProof/>
        </w:rPr>
        <w:t>5</w:t>
      </w:r>
      <w:r w:rsidR="00AD38CF" w:rsidRPr="007F4E9F">
        <w:fldChar w:fldCharType="end"/>
      </w:r>
      <w:r w:rsidRPr="007F4E9F">
        <w:t xml:space="preserve">. </w:t>
      </w:r>
      <w:r w:rsidRPr="007F4E9F">
        <w:rPr>
          <w:i/>
          <w:iCs/>
        </w:rPr>
        <w:t>Percepciones de los usuarios de la plataforma para el cumplimiento</w:t>
      </w:r>
    </w:p>
    <w:p w14:paraId="7C0464DE" w14:textId="31B2137A" w:rsidR="00A77312" w:rsidRPr="007F4E9F" w:rsidRDefault="00A77312" w:rsidP="00A77312">
      <w:pPr>
        <w:jc w:val="both"/>
        <w:rPr>
          <w:rFonts w:ascii="Times New Roman" w:hAnsi="Times New Roman" w:cs="Times New Roman"/>
        </w:rPr>
      </w:pPr>
      <w:r w:rsidRPr="007F4E9F">
        <w:rPr>
          <w:rFonts w:ascii="Times New Roman" w:eastAsia="Times New Roman" w:hAnsi="Times New Roman" w:cs="Times New Roman"/>
        </w:rPr>
        <w:t xml:space="preserve">Fuente: elaboración propia </w:t>
      </w:r>
    </w:p>
    <w:p w14:paraId="20E256B8" w14:textId="45829B26" w:rsidR="00E52FB6" w:rsidRPr="007F4E9F" w:rsidRDefault="00E52FB6" w:rsidP="0032235A">
      <w:pPr>
        <w:spacing w:line="240" w:lineRule="auto"/>
        <w:jc w:val="both"/>
        <w:rPr>
          <w:rFonts w:ascii="Times New Roman" w:hAnsi="Times New Roman" w:cs="Times New Roman"/>
        </w:rPr>
      </w:pPr>
      <w:r w:rsidRPr="007F4E9F">
        <w:rPr>
          <w:rFonts w:ascii="Times New Roman" w:hAnsi="Times New Roman" w:cs="Times New Roman"/>
        </w:rPr>
        <w:t xml:space="preserve">Dado que los usuarios esperan ampliar su red de contactos, iniciar y concretar negociaciones, se les aplicaron preguntas para evaluar de manera específica la eficiencia transaccional, asociada al cumplimiento de indicadores propuestos.  </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5665"/>
        <w:gridCol w:w="2965"/>
      </w:tblGrid>
      <w:tr w:rsidR="00E52FB6" w:rsidRPr="007F4E9F" w14:paraId="233F7309" w14:textId="77777777" w:rsidTr="000A3157">
        <w:tc>
          <w:tcPr>
            <w:tcW w:w="5665" w:type="dxa"/>
            <w:vAlign w:val="center"/>
          </w:tcPr>
          <w:p w14:paraId="26259BC6" w14:textId="77777777" w:rsidR="00E52FB6" w:rsidRPr="007F4E9F" w:rsidRDefault="00E52FB6" w:rsidP="0032235A">
            <w:pPr>
              <w:jc w:val="both"/>
              <w:rPr>
                <w:rFonts w:ascii="Times New Roman" w:hAnsi="Times New Roman" w:cs="Times New Roman"/>
                <w:b/>
                <w:bCs/>
              </w:rPr>
            </w:pPr>
            <w:r w:rsidRPr="007F4E9F">
              <w:rPr>
                <w:rFonts w:ascii="Times New Roman" w:hAnsi="Times New Roman" w:cs="Times New Roman"/>
                <w:b/>
                <w:bCs/>
              </w:rPr>
              <w:t>Pregunta</w:t>
            </w:r>
          </w:p>
        </w:tc>
        <w:tc>
          <w:tcPr>
            <w:tcW w:w="2965" w:type="dxa"/>
            <w:vAlign w:val="center"/>
          </w:tcPr>
          <w:p w14:paraId="0BD5C6FC" w14:textId="77777777" w:rsidR="00E52FB6" w:rsidRPr="007F4E9F" w:rsidRDefault="00E52FB6" w:rsidP="0032235A">
            <w:pPr>
              <w:jc w:val="both"/>
              <w:rPr>
                <w:rFonts w:ascii="Times New Roman" w:hAnsi="Times New Roman" w:cs="Times New Roman"/>
                <w:b/>
                <w:bCs/>
              </w:rPr>
            </w:pPr>
            <w:r w:rsidRPr="007F4E9F">
              <w:rPr>
                <w:rFonts w:ascii="Times New Roman" w:hAnsi="Times New Roman" w:cs="Times New Roman"/>
                <w:b/>
                <w:bCs/>
              </w:rPr>
              <w:t>¿Qué mide?</w:t>
            </w:r>
          </w:p>
        </w:tc>
      </w:tr>
      <w:tr w:rsidR="00E52FB6" w:rsidRPr="007F4E9F" w14:paraId="02077AA4" w14:textId="77777777" w:rsidTr="000A3157">
        <w:tc>
          <w:tcPr>
            <w:tcW w:w="5665" w:type="dxa"/>
            <w:vAlign w:val="center"/>
          </w:tcPr>
          <w:p w14:paraId="482BF43B" w14:textId="77777777" w:rsidR="00E52FB6" w:rsidRPr="007F4E9F" w:rsidRDefault="00E52FB6" w:rsidP="0032235A">
            <w:pPr>
              <w:jc w:val="both"/>
              <w:rPr>
                <w:rFonts w:ascii="Times New Roman" w:hAnsi="Times New Roman" w:cs="Times New Roman"/>
              </w:rPr>
            </w:pPr>
            <w:r w:rsidRPr="007F4E9F">
              <w:rPr>
                <w:rFonts w:ascii="Times New Roman" w:hAnsi="Times New Roman" w:cs="Times New Roman"/>
              </w:rPr>
              <w:t>13. ¿Aproximadamente cuántas veces fue contactado por otros usuarios interesados en los productos, residuos o subproductos que usted publicó?</w:t>
            </w:r>
          </w:p>
          <w:p w14:paraId="542CF0AB" w14:textId="6B0C0BC2" w:rsidR="00B43F37" w:rsidRPr="007F4E9F" w:rsidRDefault="00B43F37" w:rsidP="0032235A">
            <w:pPr>
              <w:jc w:val="both"/>
              <w:rPr>
                <w:rFonts w:ascii="Times New Roman" w:hAnsi="Times New Roman" w:cs="Times New Roman"/>
              </w:rPr>
            </w:pPr>
          </w:p>
        </w:tc>
        <w:tc>
          <w:tcPr>
            <w:tcW w:w="2965" w:type="dxa"/>
            <w:vAlign w:val="center"/>
          </w:tcPr>
          <w:p w14:paraId="5B19A623" w14:textId="77777777" w:rsidR="00E52FB6" w:rsidRPr="007F4E9F" w:rsidRDefault="00E52FB6" w:rsidP="0032235A">
            <w:pPr>
              <w:jc w:val="both"/>
              <w:rPr>
                <w:rFonts w:ascii="Times New Roman" w:hAnsi="Times New Roman" w:cs="Times New Roman"/>
                <w:b/>
                <w:bCs/>
              </w:rPr>
            </w:pPr>
            <w:r w:rsidRPr="007F4E9F">
              <w:rPr>
                <w:rFonts w:ascii="Times New Roman" w:hAnsi="Times New Roman" w:cs="Times New Roman"/>
              </w:rPr>
              <w:t>Contactos recibidos</w:t>
            </w:r>
          </w:p>
        </w:tc>
      </w:tr>
      <w:tr w:rsidR="00E52FB6" w:rsidRPr="007F4E9F" w14:paraId="4B5F39B8" w14:textId="77777777" w:rsidTr="000A3157">
        <w:tc>
          <w:tcPr>
            <w:tcW w:w="5665" w:type="dxa"/>
            <w:vAlign w:val="center"/>
          </w:tcPr>
          <w:p w14:paraId="7DD9C024" w14:textId="77777777" w:rsidR="00E52FB6" w:rsidRPr="007F4E9F" w:rsidRDefault="00E52FB6" w:rsidP="0032235A">
            <w:pPr>
              <w:jc w:val="both"/>
              <w:rPr>
                <w:rFonts w:ascii="Times New Roman" w:hAnsi="Times New Roman" w:cs="Times New Roman"/>
              </w:rPr>
            </w:pPr>
            <w:r w:rsidRPr="007F4E9F">
              <w:rPr>
                <w:rFonts w:ascii="Times New Roman" w:hAnsi="Times New Roman" w:cs="Times New Roman"/>
              </w:rPr>
              <w:t>14. De las veces que fue contactado por otros usuarios, ¿en cuántas ocasiones logró dar una respuesta efectiva o iniciar una negociación?</w:t>
            </w:r>
          </w:p>
          <w:p w14:paraId="73F88498" w14:textId="33A93818" w:rsidR="00B43F37" w:rsidRPr="007F4E9F" w:rsidRDefault="00B43F37" w:rsidP="0032235A">
            <w:pPr>
              <w:jc w:val="both"/>
              <w:rPr>
                <w:rFonts w:ascii="Times New Roman" w:hAnsi="Times New Roman" w:cs="Times New Roman"/>
              </w:rPr>
            </w:pPr>
          </w:p>
        </w:tc>
        <w:tc>
          <w:tcPr>
            <w:tcW w:w="2965" w:type="dxa"/>
            <w:vAlign w:val="center"/>
          </w:tcPr>
          <w:p w14:paraId="2003C311" w14:textId="77777777" w:rsidR="00E52FB6" w:rsidRPr="007F4E9F" w:rsidRDefault="00E52FB6" w:rsidP="0032235A">
            <w:pPr>
              <w:jc w:val="both"/>
              <w:rPr>
                <w:rFonts w:ascii="Times New Roman" w:hAnsi="Times New Roman" w:cs="Times New Roman"/>
              </w:rPr>
            </w:pPr>
            <w:r w:rsidRPr="007F4E9F">
              <w:rPr>
                <w:rFonts w:ascii="Times New Roman" w:hAnsi="Times New Roman" w:cs="Times New Roman"/>
              </w:rPr>
              <w:t>Respuestas dadas</w:t>
            </w:r>
          </w:p>
        </w:tc>
      </w:tr>
      <w:tr w:rsidR="00E52FB6" w:rsidRPr="007F4E9F" w14:paraId="1FE2C3C2" w14:textId="77777777" w:rsidTr="000A3157">
        <w:tc>
          <w:tcPr>
            <w:tcW w:w="5665" w:type="dxa"/>
            <w:vAlign w:val="center"/>
          </w:tcPr>
          <w:p w14:paraId="7BD5AB6C" w14:textId="77777777" w:rsidR="00E52FB6" w:rsidRPr="007F4E9F" w:rsidRDefault="00E52FB6" w:rsidP="0032235A">
            <w:pPr>
              <w:jc w:val="both"/>
              <w:rPr>
                <w:rFonts w:ascii="Times New Roman" w:hAnsi="Times New Roman" w:cs="Times New Roman"/>
              </w:rPr>
            </w:pPr>
            <w:r w:rsidRPr="007F4E9F">
              <w:rPr>
                <w:rFonts w:ascii="Times New Roman" w:hAnsi="Times New Roman" w:cs="Times New Roman"/>
              </w:rPr>
              <w:t>15. Cuando usted tomó la iniciativa de contactar a otras empresas mediante la plataforma, ¿de cuántos usuarios recibió una respuesta de vuelta? (Ejemplo: "Contacté a 5 y me respondieron 2", o "No intenté contactar a nadie").</w:t>
            </w:r>
          </w:p>
          <w:p w14:paraId="1F3619D1" w14:textId="25AD1399" w:rsidR="00B43F37" w:rsidRPr="007F4E9F" w:rsidRDefault="00B43F37" w:rsidP="0032235A">
            <w:pPr>
              <w:jc w:val="both"/>
              <w:rPr>
                <w:rFonts w:ascii="Times New Roman" w:hAnsi="Times New Roman" w:cs="Times New Roman"/>
              </w:rPr>
            </w:pPr>
          </w:p>
        </w:tc>
        <w:tc>
          <w:tcPr>
            <w:tcW w:w="2965" w:type="dxa"/>
            <w:vAlign w:val="center"/>
          </w:tcPr>
          <w:p w14:paraId="798935D2" w14:textId="77777777" w:rsidR="00E52FB6" w:rsidRPr="007F4E9F" w:rsidRDefault="00E52FB6" w:rsidP="0032235A">
            <w:pPr>
              <w:jc w:val="both"/>
              <w:rPr>
                <w:rFonts w:ascii="Times New Roman" w:hAnsi="Times New Roman" w:cs="Times New Roman"/>
                <w:b/>
                <w:bCs/>
              </w:rPr>
            </w:pPr>
            <w:r w:rsidRPr="007F4E9F">
              <w:rPr>
                <w:rFonts w:ascii="Times New Roman" w:hAnsi="Times New Roman" w:cs="Times New Roman"/>
              </w:rPr>
              <w:t>Negociaciones iniciadas</w:t>
            </w:r>
          </w:p>
        </w:tc>
      </w:tr>
      <w:tr w:rsidR="00E52FB6" w:rsidRPr="007F4E9F" w14:paraId="253636D8" w14:textId="77777777" w:rsidTr="000A3157">
        <w:tc>
          <w:tcPr>
            <w:tcW w:w="5665" w:type="dxa"/>
            <w:vAlign w:val="center"/>
          </w:tcPr>
          <w:p w14:paraId="55F3B031" w14:textId="77777777" w:rsidR="00E52FB6" w:rsidRPr="007F4E9F" w:rsidRDefault="00E52FB6" w:rsidP="0032235A">
            <w:pPr>
              <w:jc w:val="both"/>
              <w:rPr>
                <w:rFonts w:ascii="Times New Roman" w:hAnsi="Times New Roman" w:cs="Times New Roman"/>
              </w:rPr>
            </w:pPr>
            <w:r w:rsidRPr="007F4E9F">
              <w:rPr>
                <w:rFonts w:ascii="Times New Roman" w:hAnsi="Times New Roman" w:cs="Times New Roman"/>
              </w:rPr>
              <w:t>16. ¿Cuál fue la cantidad total de productos o residuos que logró VENDER o ENTREGAR a través de la plataforma? (Por favor, indique el número y la unidad de medida, por ejemplo: 150 unidades, 50 Kg, 2 Ton, o 10 M3. Si no logró vender nada, escriba "0")</w:t>
            </w:r>
          </w:p>
          <w:p w14:paraId="597CB6BA" w14:textId="4F1E3C14" w:rsidR="00B43F37" w:rsidRPr="007F4E9F" w:rsidRDefault="00B43F37" w:rsidP="0032235A">
            <w:pPr>
              <w:jc w:val="both"/>
              <w:rPr>
                <w:rFonts w:ascii="Times New Roman" w:hAnsi="Times New Roman" w:cs="Times New Roman"/>
              </w:rPr>
            </w:pPr>
          </w:p>
        </w:tc>
        <w:tc>
          <w:tcPr>
            <w:tcW w:w="2965" w:type="dxa"/>
            <w:vAlign w:val="center"/>
          </w:tcPr>
          <w:p w14:paraId="207AE1D4" w14:textId="77777777" w:rsidR="00E52FB6" w:rsidRPr="007F4E9F" w:rsidRDefault="00E52FB6" w:rsidP="0032235A">
            <w:pPr>
              <w:jc w:val="both"/>
              <w:rPr>
                <w:rFonts w:ascii="Times New Roman" w:hAnsi="Times New Roman" w:cs="Times New Roman"/>
              </w:rPr>
            </w:pPr>
            <w:r w:rsidRPr="007F4E9F">
              <w:rPr>
                <w:rFonts w:ascii="Times New Roman" w:hAnsi="Times New Roman" w:cs="Times New Roman"/>
              </w:rPr>
              <w:t>Transacciones exitosas/falidas</w:t>
            </w:r>
          </w:p>
        </w:tc>
      </w:tr>
      <w:tr w:rsidR="00E52FB6" w:rsidRPr="007F4E9F" w14:paraId="243E5AB7" w14:textId="77777777" w:rsidTr="000A3157">
        <w:tc>
          <w:tcPr>
            <w:tcW w:w="5665" w:type="dxa"/>
            <w:vAlign w:val="center"/>
          </w:tcPr>
          <w:p w14:paraId="2BE2B21E" w14:textId="77777777" w:rsidR="00E52FB6" w:rsidRPr="007F4E9F" w:rsidRDefault="00E52FB6" w:rsidP="0032235A">
            <w:pPr>
              <w:jc w:val="both"/>
              <w:rPr>
                <w:rFonts w:ascii="Times New Roman" w:hAnsi="Times New Roman" w:cs="Times New Roman"/>
              </w:rPr>
            </w:pPr>
            <w:r w:rsidRPr="007F4E9F">
              <w:rPr>
                <w:rFonts w:ascii="Times New Roman" w:hAnsi="Times New Roman" w:cs="Times New Roman"/>
              </w:rPr>
              <w:t>17. ¿Cuál fue la cantidad total de residuos o subproductos que logró COMPRAR o RECIBIR a través de la plataforma? (Por favor, indique el número y la unidad de medida, por ejemplo: 150 unidades, 50 Kg, 2 Ton, o 10 M3. Si no compró nada, escriba "0").</w:t>
            </w:r>
          </w:p>
        </w:tc>
        <w:tc>
          <w:tcPr>
            <w:tcW w:w="2965" w:type="dxa"/>
            <w:vAlign w:val="center"/>
          </w:tcPr>
          <w:p w14:paraId="32D804D6" w14:textId="77777777" w:rsidR="00E52FB6" w:rsidRPr="007F4E9F" w:rsidRDefault="00E52FB6" w:rsidP="0032235A">
            <w:pPr>
              <w:jc w:val="both"/>
              <w:rPr>
                <w:rFonts w:ascii="Times New Roman" w:hAnsi="Times New Roman" w:cs="Times New Roman"/>
              </w:rPr>
            </w:pPr>
            <w:r w:rsidRPr="007F4E9F">
              <w:rPr>
                <w:rFonts w:ascii="Times New Roman" w:hAnsi="Times New Roman" w:cs="Times New Roman"/>
              </w:rPr>
              <w:t>Transacciones exitosas/falidas</w:t>
            </w:r>
          </w:p>
        </w:tc>
      </w:tr>
    </w:tbl>
    <w:p w14:paraId="072AD136" w14:textId="77777777" w:rsidR="00E52FB6" w:rsidRPr="007F4E9F" w:rsidRDefault="00E52FB6" w:rsidP="0032235A">
      <w:pPr>
        <w:spacing w:line="240" w:lineRule="auto"/>
        <w:jc w:val="both"/>
        <w:rPr>
          <w:rFonts w:ascii="Times New Roman" w:hAnsi="Times New Roman" w:cs="Times New Roman"/>
        </w:rPr>
      </w:pPr>
      <w:r w:rsidRPr="007F4E9F">
        <w:rPr>
          <w:rFonts w:ascii="Times New Roman" w:hAnsi="Times New Roman" w:cs="Times New Roman"/>
          <w:b/>
          <w:bCs/>
        </w:rPr>
        <w:t>Fuente:</w:t>
      </w:r>
      <w:r w:rsidRPr="007F4E9F">
        <w:rPr>
          <w:rFonts w:ascii="Times New Roman" w:hAnsi="Times New Roman" w:cs="Times New Roman"/>
        </w:rPr>
        <w:t xml:space="preserve"> elaboración propia.</w:t>
      </w:r>
    </w:p>
    <w:p w14:paraId="77BC134A" w14:textId="3E3A0CD0" w:rsidR="00E52FB6" w:rsidRPr="007F4E9F" w:rsidRDefault="00E52FB6" w:rsidP="0032235A">
      <w:pPr>
        <w:jc w:val="both"/>
        <w:rPr>
          <w:rFonts w:ascii="Times New Roman" w:hAnsi="Times New Roman" w:cs="Times New Roman"/>
        </w:rPr>
      </w:pPr>
      <w:r w:rsidRPr="007F4E9F">
        <w:rPr>
          <w:rFonts w:ascii="Times New Roman" w:hAnsi="Times New Roman" w:cs="Times New Roman"/>
        </w:rPr>
        <w:t xml:space="preserve">El análisis del embudo de conversión refleja una severa desconexión comercial dentro de la red (número de contacto y respuesta, preguntas de la 13 a la 15). La tasa de contacto inicial es baja, y de aquellos usuarios que toman la iniciativa de enviar un mensaje o solicitud de compra a otra empresa, la gran mayoría no recibe respuesta de vuelta (Ver figura </w:t>
      </w:r>
      <w:r w:rsidR="008330F3" w:rsidRPr="007F4E9F">
        <w:rPr>
          <w:rFonts w:ascii="Times New Roman" w:hAnsi="Times New Roman" w:cs="Times New Roman"/>
        </w:rPr>
        <w:t>6</w:t>
      </w:r>
      <w:r w:rsidRPr="007F4E9F">
        <w:rPr>
          <w:rFonts w:ascii="Times New Roman" w:hAnsi="Times New Roman" w:cs="Times New Roman"/>
        </w:rPr>
        <w:t>.)</w:t>
      </w:r>
    </w:p>
    <w:p w14:paraId="28230C46" w14:textId="77777777" w:rsidR="00603E3B" w:rsidRPr="007F4E9F" w:rsidRDefault="001F3584" w:rsidP="00603E3B">
      <w:pPr>
        <w:keepNext/>
        <w:jc w:val="both"/>
      </w:pPr>
      <w:r w:rsidRPr="007F4E9F">
        <w:rPr>
          <w:rFonts w:ascii="Times New Roman" w:hAnsi="Times New Roman" w:cs="Times New Roman"/>
          <w:noProof/>
        </w:rPr>
        <w:drawing>
          <wp:inline distT="0" distB="0" distL="0" distR="0" wp14:anchorId="0CA52065" wp14:editId="54743E7D">
            <wp:extent cx="4713753" cy="2334126"/>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20863" cy="2337647"/>
                    </a:xfrm>
                    <a:prstGeom prst="rect">
                      <a:avLst/>
                    </a:prstGeom>
                  </pic:spPr>
                </pic:pic>
              </a:graphicData>
            </a:graphic>
          </wp:inline>
        </w:drawing>
      </w:r>
    </w:p>
    <w:p w14:paraId="0EA31ED0" w14:textId="78A3506B" w:rsidR="001F3584" w:rsidRPr="007F4E9F" w:rsidRDefault="00603E3B" w:rsidP="00603E3B">
      <w:pPr>
        <w:pStyle w:val="Caption"/>
        <w:jc w:val="both"/>
        <w:rPr>
          <w:rFonts w:ascii="Times New Roman" w:hAnsi="Times New Roman" w:cs="Times New Roman"/>
          <w:sz w:val="22"/>
        </w:rPr>
      </w:pPr>
      <w:r w:rsidRPr="007F4E9F">
        <w:t xml:space="preserve">Figura </w:t>
      </w:r>
      <w:r w:rsidR="00AD38CF" w:rsidRPr="007F4E9F">
        <w:fldChar w:fldCharType="begin"/>
      </w:r>
      <w:r w:rsidR="00AD38CF" w:rsidRPr="007F4E9F">
        <w:instrText xml:space="preserve"> SEQ Figura \* ARABIC </w:instrText>
      </w:r>
      <w:r w:rsidR="00AD38CF" w:rsidRPr="007F4E9F">
        <w:fldChar w:fldCharType="separate"/>
      </w:r>
      <w:r w:rsidR="00966267" w:rsidRPr="007F4E9F">
        <w:rPr>
          <w:noProof/>
        </w:rPr>
        <w:t>6</w:t>
      </w:r>
      <w:r w:rsidR="00AD38CF" w:rsidRPr="007F4E9F">
        <w:fldChar w:fldCharType="end"/>
      </w:r>
      <w:r w:rsidRPr="007F4E9F">
        <w:t xml:space="preserve">. </w:t>
      </w:r>
      <w:r w:rsidRPr="007F4E9F">
        <w:rPr>
          <w:i/>
          <w:iCs/>
        </w:rPr>
        <w:t>Número de contacto y respuesta.</w:t>
      </w:r>
    </w:p>
    <w:p w14:paraId="0EE3EFA4" w14:textId="77777777" w:rsidR="00E52FB6" w:rsidRPr="007F4E9F" w:rsidRDefault="00E52FB6" w:rsidP="0032235A">
      <w:pPr>
        <w:spacing w:line="240" w:lineRule="auto"/>
        <w:jc w:val="both"/>
        <w:rPr>
          <w:rFonts w:ascii="Times New Roman" w:hAnsi="Times New Roman" w:cs="Times New Roman"/>
        </w:rPr>
      </w:pPr>
      <w:r w:rsidRPr="007F4E9F">
        <w:rPr>
          <w:rFonts w:ascii="Times New Roman" w:hAnsi="Times New Roman" w:cs="Times New Roman"/>
          <w:b/>
          <w:bCs/>
        </w:rPr>
        <w:t>Fuente:</w:t>
      </w:r>
      <w:r w:rsidRPr="007F4E9F">
        <w:rPr>
          <w:rFonts w:ascii="Times New Roman" w:hAnsi="Times New Roman" w:cs="Times New Roman"/>
        </w:rPr>
        <w:t xml:space="preserve"> elaboración propia.</w:t>
      </w:r>
    </w:p>
    <w:p w14:paraId="70321D27" w14:textId="77777777" w:rsidR="00C24131" w:rsidRPr="007F4E9F" w:rsidRDefault="00C24131" w:rsidP="00C24131">
      <w:pPr>
        <w:spacing w:line="240" w:lineRule="auto"/>
        <w:jc w:val="both"/>
        <w:rPr>
          <w:rFonts w:ascii="Times New Roman" w:hAnsi="Times New Roman" w:cs="Times New Roman"/>
        </w:rPr>
      </w:pPr>
      <w:r w:rsidRPr="007F4E9F">
        <w:rPr>
          <w:rFonts w:ascii="Times New Roman" w:hAnsi="Times New Roman" w:cs="Times New Roman"/>
        </w:rPr>
        <w:t xml:space="preserve">El embudo de conversión muestra una ruptura en la fase de respuesta y negociación. Los datos arrojan que la comunicación en la plataforma es un aspecto crítico, de los escasos contactos iniciales que las empresas reportaron haber recibido, </w:t>
      </w:r>
      <w:commentRangeStart w:id="86"/>
      <w:r w:rsidRPr="007F4E9F">
        <w:rPr>
          <w:rFonts w:ascii="Times New Roman" w:hAnsi="Times New Roman" w:cs="Times New Roman"/>
        </w:rPr>
        <w:t xml:space="preserve">casi los 21 encuestados reportan no lograr articular </w:t>
      </w:r>
      <w:commentRangeEnd w:id="86"/>
      <w:r w:rsidR="00C26D5A" w:rsidRPr="007F4E9F">
        <w:rPr>
          <w:rStyle w:val="CommentReference"/>
          <w:rFonts w:ascii="Times New Roman" w:hAnsi="Times New Roman" w:cs="Times New Roman"/>
          <w:sz w:val="22"/>
          <w:szCs w:val="22"/>
        </w:rPr>
        <w:commentReference w:id="86"/>
      </w:r>
      <w:r w:rsidRPr="007F4E9F">
        <w:rPr>
          <w:rFonts w:ascii="Times New Roman" w:hAnsi="Times New Roman" w:cs="Times New Roman"/>
        </w:rPr>
        <w:t>una respuesta efectiva o iniciar un negocio (una respuesta efectiva frente a los contactos entrantes). De igual manera, cuando las empresas tomaron la proactividad de contactar a otras, la tasa de respuesta obtenida de vuelta fue prácticamente nula. Esta métrica explica directamente por qué no se concretan los negocios, evidenciando la importancia de un sistema de notificaciones externas al correo corporativo.</w:t>
      </w:r>
    </w:p>
    <w:p w14:paraId="4D955695" w14:textId="74047471" w:rsidR="00C24131" w:rsidRPr="007F4E9F" w:rsidRDefault="00C24131" w:rsidP="00C24131">
      <w:pPr>
        <w:spacing w:line="240" w:lineRule="auto"/>
        <w:jc w:val="both"/>
        <w:rPr>
          <w:rFonts w:ascii="Times New Roman" w:hAnsi="Times New Roman" w:cs="Times New Roman"/>
        </w:rPr>
      </w:pPr>
      <w:r w:rsidRPr="007F4E9F">
        <w:rPr>
          <w:rFonts w:ascii="Times New Roman" w:hAnsi="Times New Roman" w:cs="Times New Roman"/>
        </w:rPr>
        <w:t xml:space="preserve">La evaluación de la eficacia transaccional en términos del volumen transado en venta y compra (preguntas 16 y 17), arroja un resultado frente a los objetivos operativos del proyecto. La inmensa mayoría de la muestra reporta un volumen de “0” tanto en toneladas vendidas/entregadas como en toneladas compradas/recibidas. Esto evidencia que el Marketplace no está logrando dinamizar el intercambio físico de materiales y representa una alerta máxima frente al cumplimiento de la meta contractual de 2.000 toneladas transadas. Ver figura </w:t>
      </w:r>
      <w:r w:rsidR="008330F3" w:rsidRPr="007F4E9F">
        <w:rPr>
          <w:rFonts w:ascii="Times New Roman" w:hAnsi="Times New Roman" w:cs="Times New Roman"/>
        </w:rPr>
        <w:t>7</w:t>
      </w:r>
      <w:r w:rsidRPr="007F4E9F">
        <w:rPr>
          <w:rFonts w:ascii="Times New Roman" w:hAnsi="Times New Roman" w:cs="Times New Roman"/>
        </w:rPr>
        <w:t xml:space="preserve"> y </w:t>
      </w:r>
      <w:r w:rsidR="008330F3" w:rsidRPr="007F4E9F">
        <w:rPr>
          <w:rFonts w:ascii="Times New Roman" w:hAnsi="Times New Roman" w:cs="Times New Roman"/>
        </w:rPr>
        <w:t>8</w:t>
      </w:r>
      <w:r w:rsidRPr="007F4E9F">
        <w:rPr>
          <w:rFonts w:ascii="Times New Roman" w:hAnsi="Times New Roman" w:cs="Times New Roman"/>
        </w:rPr>
        <w:t>.</w:t>
      </w:r>
    </w:p>
    <w:p w14:paraId="3CE602E8" w14:textId="77777777" w:rsidR="00603E3B" w:rsidRPr="007F4E9F" w:rsidRDefault="00C24131" w:rsidP="00603E3B">
      <w:pPr>
        <w:keepNext/>
        <w:spacing w:line="240" w:lineRule="auto"/>
        <w:jc w:val="both"/>
      </w:pPr>
      <w:r w:rsidRPr="007F4E9F">
        <w:rPr>
          <w:rFonts w:ascii="Times New Roman" w:hAnsi="Times New Roman"/>
          <w:b/>
          <w:bCs/>
          <w:noProof/>
        </w:rPr>
        <w:drawing>
          <wp:inline distT="0" distB="0" distL="0" distR="0" wp14:anchorId="44B3A199" wp14:editId="3A4B476B">
            <wp:extent cx="3892815" cy="2340000"/>
            <wp:effectExtent l="0" t="0" r="0" b="3175"/>
            <wp:docPr id="965171294"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92815" cy="2340000"/>
                    </a:xfrm>
                    <a:prstGeom prst="rect">
                      <a:avLst/>
                    </a:prstGeom>
                    <a:noFill/>
                  </pic:spPr>
                </pic:pic>
              </a:graphicData>
            </a:graphic>
          </wp:inline>
        </w:drawing>
      </w:r>
    </w:p>
    <w:p w14:paraId="75275DE1" w14:textId="550317FC" w:rsidR="00C24131" w:rsidRPr="007F4E9F" w:rsidRDefault="00603E3B" w:rsidP="00603E3B">
      <w:pPr>
        <w:pStyle w:val="Caption"/>
        <w:jc w:val="both"/>
        <w:rPr>
          <w:rFonts w:ascii="Times New Roman" w:hAnsi="Times New Roman" w:cs="Times New Roman"/>
          <w:sz w:val="22"/>
        </w:rPr>
      </w:pPr>
      <w:r w:rsidRPr="007F4E9F">
        <w:t xml:space="preserve">Figura </w:t>
      </w:r>
      <w:r w:rsidR="00AD38CF" w:rsidRPr="007F4E9F">
        <w:fldChar w:fldCharType="begin"/>
      </w:r>
      <w:r w:rsidR="00AD38CF" w:rsidRPr="007F4E9F">
        <w:instrText xml:space="preserve"> SEQ Figura \* ARABIC </w:instrText>
      </w:r>
      <w:r w:rsidR="00AD38CF" w:rsidRPr="007F4E9F">
        <w:fldChar w:fldCharType="separate"/>
      </w:r>
      <w:r w:rsidR="00966267" w:rsidRPr="007F4E9F">
        <w:rPr>
          <w:noProof/>
        </w:rPr>
        <w:t>7</w:t>
      </w:r>
      <w:r w:rsidR="00AD38CF" w:rsidRPr="007F4E9F">
        <w:fldChar w:fldCharType="end"/>
      </w:r>
      <w:r w:rsidRPr="007F4E9F">
        <w:t xml:space="preserve">. </w:t>
      </w:r>
      <w:r w:rsidRPr="007F4E9F">
        <w:rPr>
          <w:i/>
          <w:iCs/>
        </w:rPr>
        <w:t>Porcentaje de transacciones de venta</w:t>
      </w:r>
    </w:p>
    <w:p w14:paraId="56D0A74C" w14:textId="165DFE71" w:rsidR="00C24131" w:rsidRPr="007F4E9F" w:rsidRDefault="00C24131" w:rsidP="00C24131">
      <w:pPr>
        <w:spacing w:line="240" w:lineRule="auto"/>
        <w:jc w:val="both"/>
        <w:rPr>
          <w:rFonts w:ascii="Times New Roman" w:hAnsi="Times New Roman" w:cs="Times New Roman"/>
        </w:rPr>
      </w:pPr>
      <w:r w:rsidRPr="007F4E9F">
        <w:rPr>
          <w:rFonts w:ascii="Times New Roman" w:hAnsi="Times New Roman" w:cs="Times New Roman"/>
          <w:b/>
          <w:bCs/>
        </w:rPr>
        <w:t>Fuente:</w:t>
      </w:r>
      <w:r w:rsidRPr="007F4E9F">
        <w:rPr>
          <w:rFonts w:ascii="Times New Roman" w:hAnsi="Times New Roman" w:cs="Times New Roman"/>
        </w:rPr>
        <w:t xml:space="preserve"> elaboración propia.</w:t>
      </w:r>
    </w:p>
    <w:p w14:paraId="2EF6EB86" w14:textId="77777777" w:rsidR="00603E3B" w:rsidRPr="007F4E9F" w:rsidRDefault="00603E3B" w:rsidP="00C24131">
      <w:pPr>
        <w:spacing w:line="240" w:lineRule="auto"/>
        <w:jc w:val="both"/>
        <w:rPr>
          <w:rFonts w:ascii="Times New Roman" w:hAnsi="Times New Roman" w:cs="Times New Roman"/>
        </w:rPr>
      </w:pPr>
    </w:p>
    <w:p w14:paraId="69259BE7" w14:textId="77777777" w:rsidR="00603E3B" w:rsidRPr="007F4E9F" w:rsidRDefault="00C24131" w:rsidP="00603E3B">
      <w:pPr>
        <w:keepNext/>
        <w:spacing w:line="240" w:lineRule="auto"/>
        <w:jc w:val="both"/>
      </w:pPr>
      <w:r w:rsidRPr="007F4E9F">
        <w:rPr>
          <w:rFonts w:ascii="Times New Roman" w:hAnsi="Times New Roman"/>
          <w:b/>
          <w:bCs/>
          <w:noProof/>
        </w:rPr>
        <w:drawing>
          <wp:inline distT="0" distB="0" distL="0" distR="0" wp14:anchorId="74FFAFBB" wp14:editId="10058D4D">
            <wp:extent cx="3892815" cy="2340000"/>
            <wp:effectExtent l="0" t="0" r="0" b="3175"/>
            <wp:docPr id="94878098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92815" cy="2340000"/>
                    </a:xfrm>
                    <a:prstGeom prst="rect">
                      <a:avLst/>
                    </a:prstGeom>
                    <a:noFill/>
                  </pic:spPr>
                </pic:pic>
              </a:graphicData>
            </a:graphic>
          </wp:inline>
        </w:drawing>
      </w:r>
    </w:p>
    <w:p w14:paraId="1DAEF112" w14:textId="27ACFA8D" w:rsidR="00C24131" w:rsidRPr="007F4E9F" w:rsidRDefault="00603E3B" w:rsidP="00603E3B">
      <w:pPr>
        <w:pStyle w:val="Caption"/>
        <w:jc w:val="both"/>
        <w:rPr>
          <w:rFonts w:ascii="Times New Roman" w:hAnsi="Times New Roman" w:cs="Times New Roman"/>
          <w:sz w:val="22"/>
        </w:rPr>
      </w:pPr>
      <w:r w:rsidRPr="007F4E9F">
        <w:t xml:space="preserve">Figura </w:t>
      </w:r>
      <w:r w:rsidR="00AD38CF" w:rsidRPr="007F4E9F">
        <w:fldChar w:fldCharType="begin"/>
      </w:r>
      <w:r w:rsidR="00AD38CF" w:rsidRPr="007F4E9F">
        <w:instrText xml:space="preserve"> SEQ Figura \* ARABIC </w:instrText>
      </w:r>
      <w:r w:rsidR="00AD38CF" w:rsidRPr="007F4E9F">
        <w:fldChar w:fldCharType="separate"/>
      </w:r>
      <w:r w:rsidR="00966267" w:rsidRPr="007F4E9F">
        <w:rPr>
          <w:noProof/>
        </w:rPr>
        <w:t>8</w:t>
      </w:r>
      <w:r w:rsidR="00AD38CF" w:rsidRPr="007F4E9F">
        <w:fldChar w:fldCharType="end"/>
      </w:r>
      <w:r w:rsidRPr="007F4E9F">
        <w:t xml:space="preserve">. </w:t>
      </w:r>
      <w:r w:rsidRPr="007F4E9F">
        <w:rPr>
          <w:i/>
          <w:iCs/>
        </w:rPr>
        <w:t>Porcentaje de transacciones de compra</w:t>
      </w:r>
    </w:p>
    <w:p w14:paraId="7FA6FFE3" w14:textId="77777777" w:rsidR="00C24131" w:rsidRPr="007F4E9F" w:rsidRDefault="00C24131" w:rsidP="00C24131">
      <w:pPr>
        <w:spacing w:line="240" w:lineRule="auto"/>
        <w:jc w:val="both"/>
        <w:rPr>
          <w:rFonts w:ascii="Times New Roman" w:hAnsi="Times New Roman" w:cs="Times New Roman"/>
        </w:rPr>
      </w:pPr>
      <w:r w:rsidRPr="007F4E9F">
        <w:rPr>
          <w:rFonts w:ascii="Times New Roman" w:hAnsi="Times New Roman" w:cs="Times New Roman"/>
          <w:b/>
          <w:bCs/>
        </w:rPr>
        <w:t>Fuente:</w:t>
      </w:r>
      <w:r w:rsidRPr="007F4E9F">
        <w:rPr>
          <w:rFonts w:ascii="Times New Roman" w:hAnsi="Times New Roman" w:cs="Times New Roman"/>
        </w:rPr>
        <w:t xml:space="preserve"> elaboración propia.</w:t>
      </w:r>
    </w:p>
    <w:p w14:paraId="7119C77A" w14:textId="689DFBC9" w:rsidR="00E52FB6" w:rsidRPr="007F4E9F" w:rsidRDefault="00E52FB6" w:rsidP="0032235A">
      <w:pPr>
        <w:spacing w:after="0" w:line="240" w:lineRule="auto"/>
        <w:jc w:val="both"/>
        <w:rPr>
          <w:rFonts w:ascii="Times New Roman" w:hAnsi="Times New Roman" w:cs="Times New Roman"/>
          <w:b/>
          <w:bCs/>
        </w:rPr>
      </w:pPr>
    </w:p>
    <w:p w14:paraId="302C156B" w14:textId="4FC4BD79" w:rsidR="00FA7DCF" w:rsidRPr="007F4E9F" w:rsidRDefault="00A31198" w:rsidP="0032235A">
      <w:pPr>
        <w:spacing w:after="0" w:line="240" w:lineRule="auto"/>
        <w:jc w:val="both"/>
        <w:rPr>
          <w:rFonts w:ascii="Times New Roman" w:hAnsi="Times New Roman" w:cs="Times New Roman"/>
        </w:rPr>
      </w:pPr>
      <w:r w:rsidRPr="007F4E9F">
        <w:rPr>
          <w:rFonts w:ascii="Times New Roman" w:hAnsi="Times New Roman" w:cs="Times New Roman"/>
        </w:rPr>
        <w:t>La inmensa mayoría de la muestra reporta un volumen de “0” tanto en toneladas vendidas/entregadas como en toneladas compradas/recibidas. Esto evidencia que el Marketplace no está logrando dinamizar el intercambio físico de materiales entre empresas.</w:t>
      </w:r>
    </w:p>
    <w:p w14:paraId="49A59D4E" w14:textId="77777777" w:rsidR="00A31198" w:rsidRPr="007F4E9F" w:rsidRDefault="00A31198" w:rsidP="0032235A">
      <w:pPr>
        <w:spacing w:after="0" w:line="240" w:lineRule="auto"/>
        <w:jc w:val="both"/>
        <w:rPr>
          <w:rFonts w:ascii="Times New Roman" w:hAnsi="Times New Roman" w:cs="Times New Roman"/>
        </w:rPr>
      </w:pPr>
    </w:p>
    <w:p w14:paraId="1F4ED17F" w14:textId="7A26FBEF" w:rsidR="00825F81" w:rsidRPr="007F4E9F" w:rsidRDefault="00825F81" w:rsidP="0032235A">
      <w:pPr>
        <w:jc w:val="both"/>
        <w:rPr>
          <w:rFonts w:ascii="Times New Roman" w:hAnsi="Times New Roman" w:cs="Times New Roman"/>
        </w:rPr>
      </w:pPr>
      <w:r w:rsidRPr="007F4E9F">
        <w:rPr>
          <w:rFonts w:ascii="Times New Roman" w:hAnsi="Times New Roman" w:cs="Times New Roman"/>
        </w:rPr>
        <w:t xml:space="preserve">Tal y como se mencionaba en el enfoque metodológico, los criterios de eficiencia, impacto y escalabilidad se incluirán en el informe final. Por lo tanto, a continuación, se presenta la evaluación </w:t>
      </w:r>
      <w:commentRangeStart w:id="87"/>
      <w:r w:rsidRPr="007F4E9F">
        <w:rPr>
          <w:rFonts w:ascii="Times New Roman" w:hAnsi="Times New Roman" w:cs="Times New Roman"/>
        </w:rPr>
        <w:t xml:space="preserve">del criterio de sostenibilidad. </w:t>
      </w:r>
      <w:bookmarkStart w:id="88" w:name="_Hlk224482648"/>
      <w:commentRangeEnd w:id="87"/>
      <w:r w:rsidR="00C26D5A" w:rsidRPr="007F4E9F">
        <w:rPr>
          <w:rStyle w:val="CommentReference"/>
          <w:rFonts w:ascii="Times New Roman" w:hAnsi="Times New Roman" w:cs="Times New Roman"/>
          <w:sz w:val="22"/>
          <w:szCs w:val="22"/>
        </w:rPr>
        <w:commentReference w:id="87"/>
      </w:r>
    </w:p>
    <w:p w14:paraId="07B21031" w14:textId="66758793" w:rsidR="004117A3" w:rsidRPr="007F4E9F" w:rsidRDefault="004117A3" w:rsidP="004117A3">
      <w:pPr>
        <w:pStyle w:val="Heading3"/>
        <w:jc w:val="both"/>
        <w:rPr>
          <w:rFonts w:ascii="Times New Roman" w:hAnsi="Times New Roman"/>
        </w:rPr>
      </w:pPr>
      <w:bookmarkStart w:id="89" w:name="_Toc226750205"/>
      <w:r w:rsidRPr="007F4E9F">
        <w:rPr>
          <w:rFonts w:ascii="Times New Roman" w:hAnsi="Times New Roman"/>
        </w:rPr>
        <w:t>Eficiencia</w:t>
      </w:r>
      <w:bookmarkEnd w:id="89"/>
    </w:p>
    <w:p w14:paraId="45DF0917" w14:textId="166D0F76" w:rsidR="004117A3" w:rsidRPr="007F4E9F" w:rsidRDefault="004117A3" w:rsidP="004117A3">
      <w:pPr>
        <w:pStyle w:val="Heading4"/>
      </w:pPr>
      <w:bookmarkStart w:id="90" w:name="_Toc226750206"/>
      <w:r w:rsidRPr="007F4E9F">
        <w:t>Relación entre los recursos utilizados y los resultados alcanzados.</w:t>
      </w:r>
      <w:bookmarkEnd w:id="90"/>
    </w:p>
    <w:p w14:paraId="4C7C7196" w14:textId="2E8F9BBA" w:rsidR="004117A3" w:rsidRPr="007F4E9F" w:rsidRDefault="004117A3" w:rsidP="004117A3">
      <w:pPr>
        <w:pStyle w:val="Heading3"/>
        <w:jc w:val="both"/>
        <w:rPr>
          <w:rFonts w:ascii="Times New Roman" w:hAnsi="Times New Roman"/>
        </w:rPr>
      </w:pPr>
      <w:bookmarkStart w:id="91" w:name="_Toc226750207"/>
      <w:r w:rsidRPr="007F4E9F">
        <w:rPr>
          <w:rFonts w:ascii="Times New Roman" w:hAnsi="Times New Roman"/>
        </w:rPr>
        <w:t>Impacto</w:t>
      </w:r>
      <w:bookmarkEnd w:id="91"/>
      <w:r w:rsidRPr="007F4E9F">
        <w:rPr>
          <w:rFonts w:ascii="Times New Roman" w:hAnsi="Times New Roman"/>
        </w:rPr>
        <w:t xml:space="preserve"> </w:t>
      </w:r>
    </w:p>
    <w:p w14:paraId="1DA10F65" w14:textId="46A5F52D" w:rsidR="00AD38CF" w:rsidRPr="007F4E9F" w:rsidRDefault="00AD38CF" w:rsidP="00AD38CF">
      <w:pPr>
        <w:jc w:val="both"/>
        <w:rPr>
          <w:rFonts w:ascii="Times New Roman" w:hAnsi="Times New Roman" w:cs="Times New Roman"/>
        </w:rPr>
      </w:pPr>
      <w:r w:rsidRPr="007F4E9F">
        <w:t xml:space="preserve">El impacto busca identificar los resultados positivos o negativos que se pueden adjudicar a la intervención.  </w:t>
      </w:r>
      <w:r w:rsidRPr="007F4E9F">
        <w:rPr>
          <w:rFonts w:ascii="Times New Roman" w:hAnsi="Times New Roman" w:cs="Times New Roman"/>
        </w:rPr>
        <w:t xml:space="preserve">Para evaluarlo, de acuerdo con la tabla 1, se verificó un alcance para cada componente: </w:t>
      </w:r>
    </w:p>
    <w:p w14:paraId="5655EB56" w14:textId="5B3AE00B" w:rsidR="00AD38CF" w:rsidRPr="007F4E9F" w:rsidRDefault="00AD38CF" w:rsidP="00AD38CF">
      <w:r w:rsidRPr="007F4E9F">
        <w:t>Efectos significativos, positivos o negativos, previstos o no previstos, generados por la intervención.</w:t>
      </w:r>
    </w:p>
    <w:p w14:paraId="5CF575C4" w14:textId="1581D5C4" w:rsidR="004117A3" w:rsidRPr="007F4E9F" w:rsidRDefault="004117A3" w:rsidP="004117A3">
      <w:pPr>
        <w:pStyle w:val="Heading4"/>
      </w:pPr>
      <w:bookmarkStart w:id="92" w:name="_Toc226750208"/>
      <w:r w:rsidRPr="007F4E9F">
        <w:t>Efectos significativos, positivos o negativos, previstos o no previstos, generados por la intervención.</w:t>
      </w:r>
      <w:bookmarkEnd w:id="92"/>
    </w:p>
    <w:p w14:paraId="5F39EE6B" w14:textId="3883B84A" w:rsidR="004117A3" w:rsidRPr="007F4E9F" w:rsidRDefault="00AD38CF" w:rsidP="00AD38CF">
      <w:pPr>
        <w:jc w:val="both"/>
      </w:pPr>
      <w:r w:rsidRPr="007F4E9F">
        <w:t xml:space="preserve">Para verificar el impacto de la plataforma, se aplicó una encuesta a los beneficiarios indirectos de la plataforma en la que se puede constatar el impacto positivo de la plataforma para generar contenidos de valor, pertinencia y especializados en economía circular.  Los resultados del ejercicio se presentan a continuación: </w:t>
      </w:r>
    </w:p>
    <w:p w14:paraId="2E8FBFAD" w14:textId="77777777" w:rsidR="00AD38CF" w:rsidRPr="007F4E9F" w:rsidRDefault="00AD38CF" w:rsidP="00AD38CF">
      <w:pPr>
        <w:keepNext/>
      </w:pPr>
      <w:r w:rsidRPr="007F4E9F">
        <w:rPr>
          <w:noProof/>
        </w:rPr>
        <w:drawing>
          <wp:inline distT="0" distB="0" distL="0" distR="0" wp14:anchorId="09E91827" wp14:editId="4E504AFC">
            <wp:extent cx="4572000" cy="2743200"/>
            <wp:effectExtent l="0" t="0" r="0" b="0"/>
            <wp:docPr id="1627493207" name="Gráfico 1">
              <a:extLst xmlns:a="http://schemas.openxmlformats.org/drawingml/2006/main">
                <a:ext uri="{FF2B5EF4-FFF2-40B4-BE49-F238E27FC236}">
                  <a16:creationId xmlns:a16="http://schemas.microsoft.com/office/drawing/2014/main" id="{E2691726-4D64-3357-5A18-236017182F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40C51EA" w14:textId="691A0F74" w:rsidR="00AD38CF" w:rsidRPr="007F4E9F" w:rsidRDefault="00AD38CF" w:rsidP="00AD38CF">
      <w:pPr>
        <w:pStyle w:val="Caption"/>
      </w:pPr>
      <w:r w:rsidRPr="007F4E9F">
        <w:t xml:space="preserve">Figura </w:t>
      </w:r>
      <w:r w:rsidRPr="007F4E9F">
        <w:fldChar w:fldCharType="begin"/>
      </w:r>
      <w:r w:rsidRPr="007F4E9F">
        <w:instrText xml:space="preserve"> SEQ Figura \* ARABIC </w:instrText>
      </w:r>
      <w:r w:rsidRPr="007F4E9F">
        <w:fldChar w:fldCharType="separate"/>
      </w:r>
      <w:r w:rsidR="00966267" w:rsidRPr="007F4E9F">
        <w:rPr>
          <w:noProof/>
        </w:rPr>
        <w:t>9</w:t>
      </w:r>
      <w:r w:rsidRPr="007F4E9F">
        <w:fldChar w:fldCharType="end"/>
      </w:r>
      <w:r w:rsidRPr="007F4E9F">
        <w:t xml:space="preserve"> Distribución geográfica de actores indirectos</w:t>
      </w:r>
    </w:p>
    <w:p w14:paraId="7DC2393F" w14:textId="00EDA1E2" w:rsidR="00AD38CF" w:rsidRPr="007F4E9F" w:rsidRDefault="00AD38CF" w:rsidP="00AD38CF">
      <w:r w:rsidRPr="007F4E9F">
        <w:t>Fuente: elaboración propia</w:t>
      </w:r>
    </w:p>
    <w:p w14:paraId="31367E8D" w14:textId="77777777" w:rsidR="00AD38CF" w:rsidRPr="007F4E9F" w:rsidRDefault="00AD38CF" w:rsidP="00AD38CF">
      <w:pPr>
        <w:jc w:val="both"/>
      </w:pPr>
      <w:r w:rsidRPr="007F4E9F">
        <w:t>La distribución demográfica de los 28 actores indirectos encuestados (participantes de los espacios de validación, transferencia de conocimiento y webinars) refleja la huella de alcance territorial que logró el proyecto durante su fase de ejecución.</w:t>
      </w:r>
    </w:p>
    <w:p w14:paraId="12A1B42D" w14:textId="77777777" w:rsidR="00AD38CF" w:rsidRPr="007F4E9F" w:rsidRDefault="00AD38CF" w:rsidP="00AD38CF">
      <w:pPr>
        <w:jc w:val="both"/>
      </w:pPr>
      <w:r w:rsidRPr="007F4E9F">
        <w:t>Al igual que la tendencia observada en la encuesta de beneficiarios directos, la gráfica revela una concentración de la participación en Bogotá, D.C., ciudad que agrupa a 22 de los 28 actores de la muestra. Por el contrario, la penetración internacional es marginal: apenas 1 actor se conectó desde Lima, mientras que los 5 actores restantes se ubican en “Otras” ciudades (fuera de las capitales principales priorizadas). Ciudades como Quito y Santiago de Chile no figuran con representación directa en esta muestra.</w:t>
      </w:r>
    </w:p>
    <w:p w14:paraId="51C0E0D4" w14:textId="77777777" w:rsidR="00AD38CF" w:rsidRPr="007F4E9F" w:rsidRDefault="00AD38CF" w:rsidP="00AD38CF">
      <w:pPr>
        <w:keepNext/>
      </w:pPr>
      <w:r w:rsidRPr="007F4E9F">
        <w:rPr>
          <w:noProof/>
        </w:rPr>
        <w:drawing>
          <wp:inline distT="0" distB="0" distL="0" distR="0" wp14:anchorId="795995F0" wp14:editId="7CDA03B5">
            <wp:extent cx="4572000" cy="2743200"/>
            <wp:effectExtent l="0" t="0" r="0" b="0"/>
            <wp:docPr id="2083967448" name="Gráfico 1">
              <a:extLst xmlns:a="http://schemas.openxmlformats.org/drawingml/2006/main">
                <a:ext uri="{FF2B5EF4-FFF2-40B4-BE49-F238E27FC236}">
                  <a16:creationId xmlns:a16="http://schemas.microsoft.com/office/drawing/2014/main" id="{3C3149C5-7654-6969-260F-50F55B9654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089EABA" w14:textId="7788E717" w:rsidR="00AD38CF" w:rsidRPr="007F4E9F" w:rsidRDefault="00AD38CF" w:rsidP="00AD38CF">
      <w:pPr>
        <w:pStyle w:val="Caption"/>
      </w:pPr>
      <w:r w:rsidRPr="007F4E9F">
        <w:t xml:space="preserve">Figura </w:t>
      </w:r>
      <w:r w:rsidRPr="007F4E9F">
        <w:fldChar w:fldCharType="begin"/>
      </w:r>
      <w:r w:rsidRPr="007F4E9F">
        <w:instrText xml:space="preserve"> SEQ Figura \* ARABIC </w:instrText>
      </w:r>
      <w:r w:rsidRPr="007F4E9F">
        <w:fldChar w:fldCharType="separate"/>
      </w:r>
      <w:r w:rsidR="00966267" w:rsidRPr="007F4E9F">
        <w:rPr>
          <w:noProof/>
        </w:rPr>
        <w:t>10</w:t>
      </w:r>
      <w:r w:rsidRPr="007F4E9F">
        <w:fldChar w:fldCharType="end"/>
      </w:r>
      <w:r w:rsidRPr="007F4E9F">
        <w:t xml:space="preserve"> Distribución sectorial de actores indirectos</w:t>
      </w:r>
    </w:p>
    <w:p w14:paraId="443B4019" w14:textId="7BF07BD2" w:rsidR="00AD38CF" w:rsidRPr="007F4E9F" w:rsidRDefault="00AD38CF" w:rsidP="00AD38CF">
      <w:r w:rsidRPr="007F4E9F">
        <w:t>Fuente: elaboración propia</w:t>
      </w:r>
    </w:p>
    <w:p w14:paraId="3B149E0A" w14:textId="77777777" w:rsidR="00AD38CF" w:rsidRPr="007F4E9F" w:rsidRDefault="00AD38CF" w:rsidP="00AD38CF">
      <w:pPr>
        <w:jc w:val="both"/>
      </w:pPr>
      <w:r w:rsidRPr="007F4E9F">
        <w:t>La distribución por sector económico de los participantes en los espacios de validación y transferencia de conocimiento presenta una configuración particular que contrasta con la muestra de beneficiarios directos. El segmento mayoritario de los asistentes se agrupa en la categoría “Otro”, representando a 12 de los 28 actores de la muestra. A nivel industrial, el sector de Construcción y Residuos de Construcción y Demolición (RCD) lidera la participación con 8 representantes, seguido de cerca por el sector Textil con 6 participantes. Por su parte, el sector de Plásticos tuvo una representación minoritaria con 2 actores, mientras que no se registró asistencia de actores pertenecientes al sector de Alimentos/Orgánicos.</w:t>
      </w:r>
    </w:p>
    <w:p w14:paraId="1A85FDAE" w14:textId="77777777" w:rsidR="00AD38CF" w:rsidRPr="007F4E9F" w:rsidRDefault="00AD38CF" w:rsidP="00AD38CF">
      <w:pPr>
        <w:keepNext/>
        <w:jc w:val="both"/>
      </w:pPr>
      <w:r w:rsidRPr="007F4E9F">
        <w:rPr>
          <w:noProof/>
        </w:rPr>
        <w:drawing>
          <wp:inline distT="0" distB="0" distL="0" distR="0" wp14:anchorId="52CD29C5" wp14:editId="23C83D84">
            <wp:extent cx="5612130" cy="2245360"/>
            <wp:effectExtent l="0" t="0" r="7620" b="2540"/>
            <wp:docPr id="1149913797" name="Gráfico 1">
              <a:extLst xmlns:a="http://schemas.openxmlformats.org/drawingml/2006/main">
                <a:ext uri="{FF2B5EF4-FFF2-40B4-BE49-F238E27FC236}">
                  <a16:creationId xmlns:a16="http://schemas.microsoft.com/office/drawing/2014/main" id="{79B63331-C6CB-82F8-B48E-0EF94C6CB7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0FFA94C" w14:textId="4BAB395B" w:rsidR="00AD38CF" w:rsidRPr="007F4E9F" w:rsidRDefault="00AD38CF" w:rsidP="00AD38CF">
      <w:pPr>
        <w:pStyle w:val="Caption"/>
        <w:jc w:val="both"/>
      </w:pPr>
      <w:r w:rsidRPr="007F4E9F">
        <w:t xml:space="preserve">Figura </w:t>
      </w:r>
      <w:r w:rsidRPr="007F4E9F">
        <w:fldChar w:fldCharType="begin"/>
      </w:r>
      <w:r w:rsidRPr="007F4E9F">
        <w:instrText xml:space="preserve"> SEQ Figura \* ARABIC </w:instrText>
      </w:r>
      <w:r w:rsidRPr="007F4E9F">
        <w:fldChar w:fldCharType="separate"/>
      </w:r>
      <w:r w:rsidR="00966267" w:rsidRPr="007F4E9F">
        <w:rPr>
          <w:noProof/>
        </w:rPr>
        <w:t>11</w:t>
      </w:r>
      <w:r w:rsidRPr="007F4E9F">
        <w:fldChar w:fldCharType="end"/>
      </w:r>
      <w:r w:rsidRPr="007F4E9F">
        <w:t xml:space="preserve"> Distribución participación espacios formativos de actores indirectos</w:t>
      </w:r>
    </w:p>
    <w:p w14:paraId="5CE5C935" w14:textId="4B2BD5D6" w:rsidR="00AD38CF" w:rsidRPr="007F4E9F" w:rsidRDefault="00AD38CF" w:rsidP="00AD38CF">
      <w:r w:rsidRPr="007F4E9F">
        <w:t>Fuente: elaboración propia</w:t>
      </w:r>
    </w:p>
    <w:p w14:paraId="45DAC83E" w14:textId="77777777" w:rsidR="00AD38CF" w:rsidRPr="007F4E9F" w:rsidRDefault="00AD38CF" w:rsidP="00AD38CF">
      <w:pPr>
        <w:jc w:val="both"/>
      </w:pPr>
      <w:r w:rsidRPr="007F4E9F">
        <w:t>El análisis de asistencia a los webinars revela un alto nivel de involucramiento por parte de los actores indirectos, donde 25 de los 28 encuestados participaron en al menos un espacio formativo. La distribución temática de la asistencia arroja hallazgos importantes sobre las necesidades de conocimiento del ecosistema empresarial. El espacio con mayor poder de convocatoria fue el “Webinar: Medir para impactar - Indicadores de circularidad”, alcanzando a 17 de los 28 asistentes. Esto demuestra que, más allá de la teoría, existe una necesidad latente en el sector privado y de consultoría por entender cómo cuantificar la economía circular para integrarla en sus reportes de sostenibilidad corporativa.</w:t>
      </w:r>
    </w:p>
    <w:p w14:paraId="7540C4F1" w14:textId="77777777" w:rsidR="00AD38CF" w:rsidRPr="007F4E9F" w:rsidRDefault="00AD38CF" w:rsidP="00AD38CF">
      <w:pPr>
        <w:jc w:val="both"/>
      </w:pPr>
      <w:r w:rsidRPr="007F4E9F">
        <w:t>Asimismo, la alta participación en los webinars especializados “Pasaporte Digital y REP: claves para la circularidad en la moda” (con 13 asistentes) y “De escombros a oportunidades: circularidad en la construcción” (con 11 asistentes) es coherente con el perfilamiento sectorial identificado previamente. La industria Textil y la de Construcción/RCD no solo fueron los sectores industriales con mayor representación en esta muestra, sino que demostraron un interés proactivo por adquirir herramientas técnicas específicas para sus cadenas de valor.</w:t>
      </w:r>
    </w:p>
    <w:p w14:paraId="50D04A42" w14:textId="77777777" w:rsidR="00AD38CF" w:rsidRPr="007F4E9F" w:rsidRDefault="00AD38CF" w:rsidP="00AD38CF">
      <w:pPr>
        <w:jc w:val="both"/>
      </w:pPr>
      <w:r w:rsidRPr="007F4E9F">
        <w:t>Finalmente, el hecho de que temas altamente técnicos hayan superado en asistencia al “Webinar Regional de Contextualización” (que registró apenas 7 asistentes), indica que el público alcanzado ya cuenta con un nivel de madurez conceptual y busca soluciones aplicadas. El reto principal del proyecto radicará en canalizar todo este conocimiento adquirido (actor indirecto) hacia la inscripción y transacción activa de materiales dentro del Marketplace (actor directo).</w:t>
      </w:r>
    </w:p>
    <w:p w14:paraId="08E37292" w14:textId="77777777" w:rsidR="00AD38CF" w:rsidRPr="007F4E9F" w:rsidRDefault="00AD38CF" w:rsidP="00AD38CF">
      <w:pPr>
        <w:keepNext/>
      </w:pPr>
      <w:r w:rsidRPr="007F4E9F">
        <w:rPr>
          <w:noProof/>
        </w:rPr>
        <w:drawing>
          <wp:inline distT="0" distB="0" distL="0" distR="0" wp14:anchorId="53ECA75A" wp14:editId="38DCFC97">
            <wp:extent cx="4584700" cy="2755900"/>
            <wp:effectExtent l="0" t="0" r="6350" b="6350"/>
            <wp:docPr id="19484074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1BDB7CA" w14:textId="35001D5E" w:rsidR="00AD38CF" w:rsidRPr="007F4E9F" w:rsidRDefault="00AD38CF" w:rsidP="00AD38CF">
      <w:pPr>
        <w:pStyle w:val="Caption"/>
      </w:pPr>
      <w:r w:rsidRPr="007F4E9F">
        <w:t xml:space="preserve">Figura </w:t>
      </w:r>
      <w:r w:rsidRPr="007F4E9F">
        <w:fldChar w:fldCharType="begin"/>
      </w:r>
      <w:r w:rsidRPr="007F4E9F">
        <w:instrText xml:space="preserve"> SEQ Figura \* ARABIC </w:instrText>
      </w:r>
      <w:r w:rsidRPr="007F4E9F">
        <w:fldChar w:fldCharType="separate"/>
      </w:r>
      <w:r w:rsidR="00966267" w:rsidRPr="007F4E9F">
        <w:rPr>
          <w:noProof/>
        </w:rPr>
        <w:t>12</w:t>
      </w:r>
      <w:r w:rsidRPr="007F4E9F">
        <w:fldChar w:fldCharType="end"/>
      </w:r>
      <w:r w:rsidRPr="007F4E9F">
        <w:t xml:space="preserve"> Percepción general por criterios OCDE de los actores Indirectos.</w:t>
      </w:r>
    </w:p>
    <w:p w14:paraId="6B3E5AC6" w14:textId="33036007" w:rsidR="00AD38CF" w:rsidRPr="007F4E9F" w:rsidRDefault="00AD38CF" w:rsidP="00AD38CF">
      <w:r w:rsidRPr="007F4E9F">
        <w:t>Fuente: elaboración propia</w:t>
      </w:r>
    </w:p>
    <w:p w14:paraId="3CA7B1FC" w14:textId="77777777" w:rsidR="00AD38CF" w:rsidRPr="007F4E9F" w:rsidRDefault="00AD38CF" w:rsidP="00AD38CF">
      <w:pPr>
        <w:jc w:val="both"/>
      </w:pPr>
      <w:r w:rsidRPr="007F4E9F">
        <w:t>El gráfico de radar ilustra los promedios de calificación otorgados por los actores indirectos frente a los criterios de Pertinencia, Cumplimiento e Impacto. A diferencia del marcado desgaste operativo evidenciado en la evaluación de la plataforma transaccional, los resultados de los espacios de transferencia de conocimiento (webinars) muestran un desempeño sobresaliente, con promedios que superan los 4.1 puntos sobre 5.0 en todos los ejes evaluados.</w:t>
      </w:r>
    </w:p>
    <w:p w14:paraId="0863E392" w14:textId="77777777" w:rsidR="00AD38CF" w:rsidRPr="007F4E9F" w:rsidRDefault="00AD38CF" w:rsidP="00AD38CF">
      <w:pPr>
        <w:jc w:val="both"/>
      </w:pPr>
      <w:r w:rsidRPr="007F4E9F">
        <w:t>Este comportamiento revela que el proyecto goza de una excelente recepción conceptual y formativa, desglosada de la siguiente manera:</w:t>
      </w:r>
    </w:p>
    <w:p w14:paraId="7B1E1567" w14:textId="77777777" w:rsidR="00AD38CF" w:rsidRPr="007F4E9F" w:rsidRDefault="00AD38CF" w:rsidP="00AD38CF">
      <w:pPr>
        <w:pStyle w:val="ListParagraph"/>
        <w:numPr>
          <w:ilvl w:val="0"/>
          <w:numId w:val="21"/>
        </w:numPr>
        <w:spacing w:after="160" w:line="259" w:lineRule="auto"/>
        <w:rPr>
          <w:b/>
          <w:bCs/>
        </w:rPr>
      </w:pPr>
      <w:r w:rsidRPr="007F4E9F">
        <w:rPr>
          <w:b/>
          <w:bCs/>
        </w:rPr>
        <w:t>Pertinencia</w:t>
      </w:r>
    </w:p>
    <w:p w14:paraId="4C28078E" w14:textId="77777777" w:rsidR="00AD38CF" w:rsidRPr="007F4E9F" w:rsidRDefault="00AD38CF" w:rsidP="00AD38CF">
      <w:pPr>
        <w:jc w:val="both"/>
      </w:pPr>
      <w:r w:rsidRPr="007F4E9F">
        <w:t>Al evaluar el criterio de Pertinencia desde la perspectiva de los actores indirectos, los resultados evidencian un alto grado de alineación entre los contenidos transferidos por el proyecto y las necesidades reales del ecosistema empresarial. La gráfica de barras apiladas refleja una recepción mayoritariamente positiva frente a las dos afirmaciones evaluadas.</w:t>
      </w:r>
    </w:p>
    <w:p w14:paraId="681E3F26" w14:textId="77777777" w:rsidR="00966267" w:rsidRPr="007F4E9F" w:rsidRDefault="00AD38CF" w:rsidP="00966267">
      <w:pPr>
        <w:keepNext/>
        <w:jc w:val="both"/>
      </w:pPr>
      <w:r w:rsidRPr="007F4E9F">
        <w:rPr>
          <w:noProof/>
        </w:rPr>
        <w:drawing>
          <wp:inline distT="0" distB="0" distL="0" distR="0" wp14:anchorId="10D2FEFB" wp14:editId="098C99A9">
            <wp:extent cx="3971925" cy="2247900"/>
            <wp:effectExtent l="0" t="0" r="9525" b="0"/>
            <wp:docPr id="249802248" name="Gráfico 1">
              <a:extLst xmlns:a="http://schemas.openxmlformats.org/drawingml/2006/main">
                <a:ext uri="{FF2B5EF4-FFF2-40B4-BE49-F238E27FC236}">
                  <a16:creationId xmlns:a16="http://schemas.microsoft.com/office/drawing/2014/main" id="{F8454EC8-49E9-41BC-A297-7B205F4BD7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6B6A53C" w14:textId="1B31A9DF" w:rsidR="00AD38CF" w:rsidRPr="007F4E9F" w:rsidRDefault="00966267" w:rsidP="00966267">
      <w:pPr>
        <w:pStyle w:val="Caption"/>
        <w:jc w:val="both"/>
      </w:pPr>
      <w:r w:rsidRPr="007F4E9F">
        <w:t xml:space="preserve">Figura </w:t>
      </w:r>
      <w:r w:rsidRPr="007F4E9F">
        <w:fldChar w:fldCharType="begin"/>
      </w:r>
      <w:r w:rsidRPr="007F4E9F">
        <w:instrText xml:space="preserve"> SEQ Figura \* ARABIC </w:instrText>
      </w:r>
      <w:r w:rsidRPr="007F4E9F">
        <w:fldChar w:fldCharType="separate"/>
      </w:r>
      <w:r w:rsidRPr="007F4E9F">
        <w:rPr>
          <w:noProof/>
        </w:rPr>
        <w:t>13</w:t>
      </w:r>
      <w:r w:rsidRPr="007F4E9F">
        <w:fldChar w:fldCharType="end"/>
      </w:r>
      <w:r w:rsidRPr="007F4E9F">
        <w:t xml:space="preserve"> Percepción de los actores indirectos frente a la pertinencia.</w:t>
      </w:r>
    </w:p>
    <w:p w14:paraId="625FF651" w14:textId="77777777" w:rsidR="00966267" w:rsidRPr="007F4E9F" w:rsidRDefault="00966267" w:rsidP="00966267">
      <w:r w:rsidRPr="007F4E9F">
        <w:t>Fuente: elaboración propia</w:t>
      </w:r>
    </w:p>
    <w:p w14:paraId="1479B1F5" w14:textId="77777777" w:rsidR="00AD38CF" w:rsidRPr="007F4E9F" w:rsidRDefault="00AD38CF" w:rsidP="00AD38CF">
      <w:pPr>
        <w:jc w:val="both"/>
      </w:pPr>
      <w:r w:rsidRPr="007F4E9F">
        <w:t>Respecto a la alineación temática y conceptual (Pregunta 4), 21 de los 28 participantes (sumando los niveles "De acuerdo" y "Totalmente de acuerdo") consideran que las temáticas abordadas en los espacios de validación y transferencia de conocimiento fueron pertinentes y respondieron directamente a los retos de la economía circular en su sector. Solo un segmento marginal de 2 encuestados expresó algún nivel de desacuerdo. Esto confirma que la agenda académica del proyecto (que incluyó temas como pasaportes digitales, indicadores y gestión de RCD) fue diseñada con un alto nivel de lectura del contexto y de las tendencias del mercado.</w:t>
      </w:r>
    </w:p>
    <w:p w14:paraId="1BACAE44" w14:textId="77777777" w:rsidR="00AD38CF" w:rsidRPr="007F4E9F" w:rsidRDefault="00AD38CF" w:rsidP="00AD38CF">
      <w:pPr>
        <w:jc w:val="both"/>
      </w:pPr>
      <w:r w:rsidRPr="007F4E9F">
        <w:t>Así mismo, respecto a la aplicabilidad de las herramientas (Pregunta 5), de manera congruente frente a la utilidad de la información compartida para la toma de decisiones, nuevamente 21 de los 28 asistentes otorgaron calificaciones de aprobación. Es destacable que en esta dimensión no se registraron calificaciones negativas (ningún participante en niveles 1 y 2), ubicándose los 7 encuestados restantes en una posición neutral. Esto indica que el conocimiento entregado no se quedó en un nivel netamente teórico, sino que fue percibido como información útil y aplicable para el entorno corporativo.</w:t>
      </w:r>
    </w:p>
    <w:p w14:paraId="4AA62B43" w14:textId="77777777" w:rsidR="00AD38CF" w:rsidRPr="007F4E9F" w:rsidRDefault="00AD38CF" w:rsidP="00AD38CF">
      <w:pPr>
        <w:pStyle w:val="ListParagraph"/>
        <w:numPr>
          <w:ilvl w:val="0"/>
          <w:numId w:val="21"/>
        </w:numPr>
        <w:spacing w:after="160" w:line="259" w:lineRule="auto"/>
        <w:rPr>
          <w:b/>
          <w:bCs/>
        </w:rPr>
      </w:pPr>
      <w:r w:rsidRPr="007F4E9F">
        <w:rPr>
          <w:b/>
          <w:bCs/>
        </w:rPr>
        <w:t>Cumplimiento</w:t>
      </w:r>
    </w:p>
    <w:p w14:paraId="63D68AE5" w14:textId="77777777" w:rsidR="00AD38CF" w:rsidRPr="007F4E9F" w:rsidRDefault="00AD38CF" w:rsidP="00AD38CF">
      <w:pPr>
        <w:jc w:val="both"/>
      </w:pPr>
      <w:r w:rsidRPr="007F4E9F">
        <w:t>Al evaluar el criterio de Cumplimiento desde la perspectiva de los actores indirectos, el análisis se centra en la eficacia con la que el proyecto ejecutó y entregó sus espacios de transferencia de conocimiento. La gráfica de barras evidencia que la dimensión logística y pedagógica de la intervención tuvo un desempeño marcadamente positivo.</w:t>
      </w:r>
    </w:p>
    <w:p w14:paraId="303A86F4" w14:textId="77777777" w:rsidR="00966267" w:rsidRPr="007F4E9F" w:rsidRDefault="00AD38CF" w:rsidP="00966267">
      <w:pPr>
        <w:keepNext/>
      </w:pPr>
      <w:r w:rsidRPr="007F4E9F">
        <w:rPr>
          <w:noProof/>
        </w:rPr>
        <w:drawing>
          <wp:inline distT="0" distB="0" distL="0" distR="0" wp14:anchorId="71EF9DE4" wp14:editId="10892832">
            <wp:extent cx="4733925" cy="2743200"/>
            <wp:effectExtent l="0" t="0" r="9525" b="0"/>
            <wp:docPr id="491172909" name="Gráfico 1">
              <a:extLst xmlns:a="http://schemas.openxmlformats.org/drawingml/2006/main">
                <a:ext uri="{FF2B5EF4-FFF2-40B4-BE49-F238E27FC236}">
                  <a16:creationId xmlns:a16="http://schemas.microsoft.com/office/drawing/2014/main" id="{76142C23-7F5B-408C-98EE-3F41BB99209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BC11CBB" w14:textId="66103FB2" w:rsidR="00AD38CF" w:rsidRPr="007F4E9F" w:rsidRDefault="00966267" w:rsidP="00966267">
      <w:pPr>
        <w:pStyle w:val="Caption"/>
      </w:pPr>
      <w:r w:rsidRPr="007F4E9F">
        <w:t xml:space="preserve">Figura </w:t>
      </w:r>
      <w:r w:rsidRPr="007F4E9F">
        <w:fldChar w:fldCharType="begin"/>
      </w:r>
      <w:r w:rsidRPr="007F4E9F">
        <w:instrText xml:space="preserve"> SEQ Figura \* ARABIC </w:instrText>
      </w:r>
      <w:r w:rsidRPr="007F4E9F">
        <w:fldChar w:fldCharType="separate"/>
      </w:r>
      <w:r w:rsidRPr="007F4E9F">
        <w:rPr>
          <w:noProof/>
        </w:rPr>
        <w:t>14</w:t>
      </w:r>
      <w:r w:rsidRPr="007F4E9F">
        <w:fldChar w:fldCharType="end"/>
      </w:r>
      <w:r w:rsidRPr="007F4E9F">
        <w:t xml:space="preserve"> Percepción de los actores indirectos frente al cumplimiento.</w:t>
      </w:r>
    </w:p>
    <w:p w14:paraId="1EA19325" w14:textId="77777777" w:rsidR="00966267" w:rsidRPr="007F4E9F" w:rsidRDefault="00966267" w:rsidP="00966267">
      <w:r w:rsidRPr="007F4E9F">
        <w:t>Fuente: elaboración propia</w:t>
      </w:r>
    </w:p>
    <w:p w14:paraId="7A780061" w14:textId="77777777" w:rsidR="00AD38CF" w:rsidRPr="007F4E9F" w:rsidRDefault="00AD38CF" w:rsidP="00AD38CF">
      <w:pPr>
        <w:jc w:val="both"/>
      </w:pPr>
      <w:r w:rsidRPr="007F4E9F">
        <w:t>18 de los 28 participantes (sumando las calificaciones de 4 y 5) afirman que los espacios formativos cumplieron con sus expectativas y lograron transferir los conocimientos prometidos de manera clara y estructurada. Esto indica que el equipo ejecutor y los expertos invitados lograron aterrizar conceptos técnicos complejos en un formato digerible para el sector empresarial.</w:t>
      </w:r>
    </w:p>
    <w:p w14:paraId="68B39042" w14:textId="77777777" w:rsidR="00AD38CF" w:rsidRPr="007F4E9F" w:rsidRDefault="00AD38CF" w:rsidP="00AD38CF">
      <w:pPr>
        <w:pStyle w:val="ListParagraph"/>
        <w:numPr>
          <w:ilvl w:val="0"/>
          <w:numId w:val="21"/>
        </w:numPr>
        <w:spacing w:after="160" w:line="259" w:lineRule="auto"/>
        <w:rPr>
          <w:b/>
          <w:bCs/>
        </w:rPr>
      </w:pPr>
      <w:r w:rsidRPr="007F4E9F">
        <w:rPr>
          <w:b/>
          <w:bCs/>
        </w:rPr>
        <w:t>Impacto</w:t>
      </w:r>
    </w:p>
    <w:p w14:paraId="4BB21A1A" w14:textId="77777777" w:rsidR="00AD38CF" w:rsidRPr="007F4E9F" w:rsidRDefault="00AD38CF" w:rsidP="00AD38CF">
      <w:pPr>
        <w:jc w:val="both"/>
      </w:pPr>
      <w:r w:rsidRPr="007F4E9F">
        <w:t>El criterio de Impacto evalúa hasta qué punto la intervención logró generar cambios de comportamiento o la apropiación de nuevas prácticas en las organizaciones. Al analizar la respuesta de los actores indirectos, los resultados muestran un balance positivo, pero revelan el techo que tiene el componente formativo cuando no está respaldado por una plataforma efectiva.</w:t>
      </w:r>
    </w:p>
    <w:p w14:paraId="1E80E4A8" w14:textId="77777777" w:rsidR="00966267" w:rsidRPr="007F4E9F" w:rsidRDefault="00AD38CF" w:rsidP="00966267">
      <w:pPr>
        <w:keepNext/>
        <w:jc w:val="both"/>
      </w:pPr>
      <w:r w:rsidRPr="007F4E9F">
        <w:rPr>
          <w:noProof/>
        </w:rPr>
        <w:drawing>
          <wp:inline distT="0" distB="0" distL="0" distR="0" wp14:anchorId="78D7BD15" wp14:editId="077DD44E">
            <wp:extent cx="4572000" cy="2743200"/>
            <wp:effectExtent l="0" t="0" r="0" b="0"/>
            <wp:docPr id="1235977293" name="Gráfico 1">
              <a:extLst xmlns:a="http://schemas.openxmlformats.org/drawingml/2006/main">
                <a:ext uri="{FF2B5EF4-FFF2-40B4-BE49-F238E27FC236}">
                  <a16:creationId xmlns:a16="http://schemas.microsoft.com/office/drawing/2014/main" id="{40292E1B-0F66-4C71-A57A-98910EE4D5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0AA04764" w14:textId="71F8CBA3" w:rsidR="00AD38CF" w:rsidRPr="007F4E9F" w:rsidRDefault="00966267" w:rsidP="00966267">
      <w:pPr>
        <w:pStyle w:val="Caption"/>
        <w:jc w:val="both"/>
      </w:pPr>
      <w:r w:rsidRPr="007F4E9F">
        <w:t xml:space="preserve">Figura </w:t>
      </w:r>
      <w:r w:rsidRPr="007F4E9F">
        <w:fldChar w:fldCharType="begin"/>
      </w:r>
      <w:r w:rsidRPr="007F4E9F">
        <w:instrText xml:space="preserve"> SEQ Figura \* ARABIC </w:instrText>
      </w:r>
      <w:r w:rsidRPr="007F4E9F">
        <w:fldChar w:fldCharType="separate"/>
      </w:r>
      <w:r w:rsidRPr="007F4E9F">
        <w:rPr>
          <w:noProof/>
        </w:rPr>
        <w:t>15</w:t>
      </w:r>
      <w:r w:rsidRPr="007F4E9F">
        <w:fldChar w:fldCharType="end"/>
      </w:r>
      <w:r w:rsidRPr="007F4E9F">
        <w:t xml:space="preserve"> Percepción de los actores indirectos frente al impacto.</w:t>
      </w:r>
    </w:p>
    <w:p w14:paraId="70A91689" w14:textId="57385DB9" w:rsidR="00966267" w:rsidRPr="007F4E9F" w:rsidRDefault="00966267" w:rsidP="00966267">
      <w:r w:rsidRPr="007F4E9F">
        <w:t>Fuente: elaboración propia</w:t>
      </w:r>
    </w:p>
    <w:p w14:paraId="379929F0" w14:textId="77777777" w:rsidR="00AD38CF" w:rsidRPr="007F4E9F" w:rsidRDefault="00AD38CF" w:rsidP="00AD38CF">
      <w:pPr>
        <w:jc w:val="both"/>
      </w:pPr>
      <w:r w:rsidRPr="007F4E9F">
        <w:t>Frente a la capacidad del proyecto para incidir en la visión corporativa de los asistentes (Pregunta 6), 21 de los 28 participantes de la muestra otorgaron calificaciones positivas (sumando los niveles 4 y 5). Esto indica que los webinars lograron su cometido principal: sensibilizar y entregar bases sólidas que las empresas consideran útiles para transformar su entendimiento sobre la medición, los pasaportes digitales o la gestión de RCD. El nivel de desacuerdo es mínimo (1 encuestado), lo que reafirma el alto valor del contenido entregado.</w:t>
      </w:r>
    </w:p>
    <w:p w14:paraId="09EAA5D8" w14:textId="77777777" w:rsidR="00AD38CF" w:rsidRPr="007F4E9F" w:rsidRDefault="00AD38CF" w:rsidP="00AD38CF">
      <w:pPr>
        <w:jc w:val="both"/>
      </w:pPr>
      <w:r w:rsidRPr="007F4E9F">
        <w:t>Sin embargo, al evaluar la intención de llevar este conocimiento a una aplicación más profunda o estructural (como la adopción de herramientas y el cambio hacia modelos circulares, Pregunta 8), el nivel de entusiasmo disminuye ligeramente. Las calificaciones positivas caen a 18 participantes, mientras que la zona de neutralidad aumenta a 7 asistentes y el desacuerdo sube a 3 encuestados. Aunque sigue siendo un resultado aprobatorio, este descenso ilustra la dificultad inherente de pasar de la teoría a la práctica.</w:t>
      </w:r>
    </w:p>
    <w:p w14:paraId="2DC7BC65" w14:textId="77777777" w:rsidR="00825F81" w:rsidRPr="007F4E9F" w:rsidRDefault="00825F81" w:rsidP="0032235A">
      <w:pPr>
        <w:pStyle w:val="Heading3"/>
        <w:jc w:val="both"/>
        <w:rPr>
          <w:rFonts w:ascii="Times New Roman" w:hAnsi="Times New Roman"/>
        </w:rPr>
      </w:pPr>
      <w:bookmarkStart w:id="93" w:name="_Toc226750209"/>
      <w:r w:rsidRPr="007F4E9F">
        <w:rPr>
          <w:rFonts w:ascii="Times New Roman" w:hAnsi="Times New Roman"/>
        </w:rPr>
        <w:t>Sostenibilidad</w:t>
      </w:r>
      <w:bookmarkEnd w:id="93"/>
    </w:p>
    <w:p w14:paraId="10D03A07" w14:textId="12D9335B" w:rsidR="00825F81" w:rsidRPr="007F4E9F" w:rsidRDefault="0042657D" w:rsidP="0032235A">
      <w:pPr>
        <w:spacing w:after="0" w:line="240" w:lineRule="auto"/>
        <w:jc w:val="both"/>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color w:val="000000" w:themeColor="text1"/>
          <w:lang w:eastAsia="es-ES"/>
        </w:rPr>
        <w:t xml:space="preserve">La evaluación de la sostenibilidad busca definir si los resultados de la plataforma regional de economía circular se mantendrán en el tiempo. </w:t>
      </w:r>
    </w:p>
    <w:p w14:paraId="3193F5BD" w14:textId="144718AC" w:rsidR="0042657D" w:rsidRPr="007F4E9F" w:rsidRDefault="0042657D" w:rsidP="0032235A">
      <w:pPr>
        <w:spacing w:after="0" w:line="240" w:lineRule="auto"/>
        <w:jc w:val="both"/>
        <w:rPr>
          <w:rFonts w:ascii="Times New Roman" w:eastAsia="Times New Roman" w:hAnsi="Times New Roman" w:cs="Times New Roman"/>
          <w:color w:val="000000" w:themeColor="text1"/>
          <w:lang w:eastAsia="es-ES"/>
        </w:rPr>
      </w:pPr>
    </w:p>
    <w:p w14:paraId="0057C8C6" w14:textId="21590E1F" w:rsidR="0042657D" w:rsidRPr="007F4E9F" w:rsidRDefault="0042657D" w:rsidP="0032235A">
      <w:pPr>
        <w:jc w:val="both"/>
        <w:rPr>
          <w:rFonts w:ascii="Times New Roman" w:hAnsi="Times New Roman" w:cs="Times New Roman"/>
        </w:rPr>
      </w:pPr>
      <w:r w:rsidRPr="007F4E9F">
        <w:rPr>
          <w:rFonts w:ascii="Times New Roman" w:hAnsi="Times New Roman" w:cs="Times New Roman"/>
        </w:rPr>
        <w:t xml:space="preserve">Para evaluar la sostenibilidad, de acuerdo con la tabla 1, se verificaron un alcance para cada componente: </w:t>
      </w:r>
    </w:p>
    <w:p w14:paraId="707F77BA" w14:textId="5D2FC2B0" w:rsidR="0042657D" w:rsidRPr="007F4E9F" w:rsidRDefault="0042657D" w:rsidP="005C3660">
      <w:pPr>
        <w:pStyle w:val="ListParagraph"/>
        <w:numPr>
          <w:ilvl w:val="0"/>
          <w:numId w:val="12"/>
        </w:numPr>
        <w:jc w:val="both"/>
        <w:rPr>
          <w:rFonts w:ascii="Times New Roman" w:hAnsi="Times New Roman" w:cs="Times New Roman"/>
        </w:rPr>
      </w:pPr>
      <w:r w:rsidRPr="007F4E9F">
        <w:rPr>
          <w:rFonts w:ascii="Times New Roman" w:hAnsi="Times New Roman" w:cs="Times New Roman"/>
        </w:rPr>
        <w:t>Análisis de las condiciones institucionales, técnicas y financieras para la continuidad de los logros alcanzados.</w:t>
      </w:r>
    </w:p>
    <w:p w14:paraId="6F81F5CC" w14:textId="67ACB771" w:rsidR="0042657D" w:rsidRPr="007F4E9F" w:rsidRDefault="0042657D" w:rsidP="0032235A">
      <w:pPr>
        <w:pStyle w:val="Heading4"/>
        <w:jc w:val="both"/>
        <w:rPr>
          <w:rFonts w:ascii="Times New Roman" w:hAnsi="Times New Roman"/>
        </w:rPr>
      </w:pPr>
      <w:bookmarkStart w:id="94" w:name="_Toc226750210"/>
      <w:r w:rsidRPr="007F4E9F">
        <w:rPr>
          <w:rFonts w:ascii="Times New Roman" w:hAnsi="Times New Roman"/>
        </w:rPr>
        <w:t>Análisis de las condiciones institucionales, técnicas y financieras para la continuidad de los logros alcanzados.</w:t>
      </w:r>
      <w:bookmarkEnd w:id="94"/>
    </w:p>
    <w:p w14:paraId="68065379" w14:textId="6B1B5AF7" w:rsidR="00374FC1" w:rsidRPr="007F4E9F" w:rsidRDefault="00374FC1" w:rsidP="0032235A">
      <w:pPr>
        <w:jc w:val="both"/>
        <w:rPr>
          <w:rFonts w:ascii="Times New Roman" w:hAnsi="Times New Roman" w:cs="Times New Roman"/>
        </w:rPr>
      </w:pPr>
      <w:r w:rsidRPr="007F4E9F">
        <w:rPr>
          <w:rFonts w:ascii="Times New Roman" w:hAnsi="Times New Roman" w:cs="Times New Roman"/>
        </w:rPr>
        <w:t xml:space="preserve">Para facilitar el análisis de sostenibilidad se procede a </w:t>
      </w:r>
      <w:r w:rsidR="00F320C3" w:rsidRPr="007F4E9F">
        <w:rPr>
          <w:rFonts w:ascii="Times New Roman" w:hAnsi="Times New Roman" w:cs="Times New Roman"/>
        </w:rPr>
        <w:t>desarrollar cada uno d</w:t>
      </w:r>
      <w:r w:rsidR="00852660" w:rsidRPr="007F4E9F">
        <w:rPr>
          <w:rFonts w:ascii="Times New Roman" w:hAnsi="Times New Roman" w:cs="Times New Roman"/>
        </w:rPr>
        <w:t xml:space="preserve">e </w:t>
      </w:r>
      <w:r w:rsidR="00F320C3" w:rsidRPr="007F4E9F">
        <w:rPr>
          <w:rFonts w:ascii="Times New Roman" w:hAnsi="Times New Roman" w:cs="Times New Roman"/>
        </w:rPr>
        <w:t>los componentes en institucionales, técnicos y financieros.</w:t>
      </w:r>
    </w:p>
    <w:p w14:paraId="554D6130" w14:textId="3BEF9BED" w:rsidR="00374FC1" w:rsidRPr="007F4E9F" w:rsidRDefault="00852660" w:rsidP="0032235A">
      <w:pPr>
        <w:jc w:val="both"/>
        <w:rPr>
          <w:rFonts w:ascii="Times New Roman" w:hAnsi="Times New Roman" w:cs="Times New Roman"/>
        </w:rPr>
      </w:pPr>
      <w:r w:rsidRPr="007F4E9F">
        <w:rPr>
          <w:rFonts w:ascii="Times New Roman" w:hAnsi="Times New Roman" w:cs="Times New Roman"/>
          <w:b/>
          <w:bCs/>
          <w:i/>
          <w:iCs/>
        </w:rPr>
        <w:t>En cuanto a las condiciones institucionales</w:t>
      </w:r>
      <w:r w:rsidRPr="007F4E9F">
        <w:rPr>
          <w:rFonts w:ascii="Times New Roman" w:hAnsi="Times New Roman" w:cs="Times New Roman"/>
        </w:rPr>
        <w:t xml:space="preserve">, </w:t>
      </w:r>
      <w:r w:rsidR="00D6684A" w:rsidRPr="007F4E9F">
        <w:rPr>
          <w:rFonts w:ascii="Times New Roman" w:hAnsi="Times New Roman" w:cs="Times New Roman"/>
        </w:rPr>
        <w:t>se resalta un componente crucial del proyecto y es el hecho de que el proyecto b</w:t>
      </w:r>
      <w:r w:rsidR="004837C0" w:rsidRPr="007F4E9F">
        <w:rPr>
          <w:rFonts w:ascii="Times New Roman" w:hAnsi="Times New Roman" w:cs="Times New Roman"/>
        </w:rPr>
        <w:t>u</w:t>
      </w:r>
      <w:r w:rsidR="00D6684A" w:rsidRPr="007F4E9F">
        <w:rPr>
          <w:rFonts w:ascii="Times New Roman" w:hAnsi="Times New Roman" w:cs="Times New Roman"/>
        </w:rPr>
        <w:t xml:space="preserve">sque un activo regional en el </w:t>
      </w:r>
      <w:r w:rsidR="004837C0" w:rsidRPr="007F4E9F">
        <w:rPr>
          <w:rFonts w:ascii="Times New Roman" w:hAnsi="Times New Roman" w:cs="Times New Roman"/>
        </w:rPr>
        <w:t>M</w:t>
      </w:r>
      <w:r w:rsidR="00D6684A" w:rsidRPr="007F4E9F">
        <w:rPr>
          <w:rFonts w:ascii="Times New Roman" w:hAnsi="Times New Roman" w:cs="Times New Roman"/>
        </w:rPr>
        <w:t>arketplace y que por lo tanto se requiera la coordinación de las 4 ciudades en el desarrollo del proyecto</w:t>
      </w:r>
      <w:r w:rsidR="004837C0" w:rsidRPr="007F4E9F">
        <w:rPr>
          <w:rFonts w:ascii="Times New Roman" w:hAnsi="Times New Roman" w:cs="Times New Roman"/>
        </w:rPr>
        <w:t xml:space="preserve">. Es importante separar las condiciones institucionales del organismo ejecutor desde su rol de responsabilidad y de las ciudades beneficiarias desde sus voluntades. </w:t>
      </w:r>
    </w:p>
    <w:p w14:paraId="04229714" w14:textId="77777777" w:rsidR="00A16E01" w:rsidRPr="007F4E9F" w:rsidRDefault="00A16E01" w:rsidP="00A16E01">
      <w:pPr>
        <w:spacing w:line="240" w:lineRule="auto"/>
        <w:jc w:val="both"/>
        <w:rPr>
          <w:rFonts w:ascii="Times New Roman" w:hAnsi="Times New Roman" w:cs="Times New Roman"/>
        </w:rPr>
      </w:pPr>
      <w:r w:rsidRPr="007F4E9F">
        <w:rPr>
          <w:rFonts w:ascii="Times New Roman" w:hAnsi="Times New Roman" w:cs="Times New Roman"/>
        </w:rPr>
        <w:t>La Secretaría Distrital de Ambiente mantuvo la ejecución del proyecto, pese a gran cantidad de cambios organizacionales y restricciones administrativas, lo que constituye un factor institucional favorable y determinante para la sostenibilidad de la plataforma.</w:t>
      </w:r>
    </w:p>
    <w:p w14:paraId="522DC8D9" w14:textId="5CD15A7B" w:rsidR="009356D1" w:rsidRPr="007F4E9F" w:rsidRDefault="00672A54" w:rsidP="0032235A">
      <w:pPr>
        <w:jc w:val="both"/>
        <w:rPr>
          <w:rFonts w:ascii="Times New Roman" w:eastAsia="Arial Narrow" w:hAnsi="Times New Roman" w:cs="Times New Roman"/>
        </w:rPr>
      </w:pPr>
      <w:r w:rsidRPr="007F4E9F">
        <w:rPr>
          <w:rFonts w:ascii="Times New Roman" w:hAnsi="Times New Roman" w:cs="Times New Roman"/>
        </w:rPr>
        <w:t>Por otra parte,</w:t>
      </w:r>
      <w:r w:rsidR="0077013B" w:rsidRPr="007F4E9F">
        <w:rPr>
          <w:rFonts w:ascii="Times New Roman" w:hAnsi="Times New Roman" w:cs="Times New Roman"/>
        </w:rPr>
        <w:t xml:space="preserve"> recogiendo los componentes en institucionales, técnicos y financieros, </w:t>
      </w:r>
      <w:r w:rsidR="00860DB8" w:rsidRPr="007F4E9F">
        <w:rPr>
          <w:rFonts w:ascii="Times New Roman" w:hAnsi="Times New Roman" w:cs="Times New Roman"/>
        </w:rPr>
        <w:t xml:space="preserve">en concordancia con las recomendaciones recogidas en el documento final del componente 2 de fortalecimiento regulatorio, es prioritario implementar y mantener la estructura de gobernanza multinivel propuesta con sus mecanismos de coordinación y articulación. </w:t>
      </w:r>
      <w:r w:rsidR="0017756A" w:rsidRPr="007F4E9F">
        <w:rPr>
          <w:rFonts w:ascii="Times New Roman" w:hAnsi="Times New Roman" w:cs="Times New Roman"/>
        </w:rPr>
        <w:t>Tal modelo</w:t>
      </w:r>
      <w:r w:rsidR="009356D1" w:rsidRPr="007F4E9F">
        <w:rPr>
          <w:rFonts w:ascii="Times New Roman" w:hAnsi="Times New Roman" w:cs="Times New Roman"/>
        </w:rPr>
        <w:t xml:space="preserve"> define los mecanismos de operación y sostenibilidad de la plataforma en los diferentes niveles estratégico, funcional y de gestión con una definición clara del líder del mecanismo de coordinación y el objetivo del mismo. Se recomiendan </w:t>
      </w:r>
      <w:r w:rsidR="009356D1" w:rsidRPr="007F4E9F">
        <w:rPr>
          <w:rFonts w:ascii="Times New Roman" w:eastAsia="Arial Narrow" w:hAnsi="Times New Roman" w:cs="Times New Roman"/>
        </w:rPr>
        <w:t>mesas de trabajo con los diferentes niveles de actores: estratégico funcional y de gestión; Planes estratégicos colaborativos; calendarios y cronogramas compartidos; jornadas técnicas y comerciales de Cargue de información a la plataforma y talleres de capacitación, formación y entrenamiento</w:t>
      </w:r>
      <w:r w:rsidR="0021378C" w:rsidRPr="007F4E9F">
        <w:rPr>
          <w:rFonts w:ascii="Times New Roman" w:eastAsia="Arial Narrow" w:hAnsi="Times New Roman" w:cs="Times New Roman"/>
        </w:rPr>
        <w:t>.</w:t>
      </w:r>
    </w:p>
    <w:p w14:paraId="3AAD505B" w14:textId="25F08302" w:rsidR="0021378C" w:rsidRPr="007F4E9F" w:rsidRDefault="0021378C" w:rsidP="0032235A">
      <w:pPr>
        <w:widowControl w:val="0"/>
        <w:spacing w:after="0" w:line="240" w:lineRule="auto"/>
        <w:jc w:val="both"/>
        <w:rPr>
          <w:rFonts w:ascii="Times New Roman" w:eastAsia="Arial Narrow" w:hAnsi="Times New Roman" w:cs="Times New Roman"/>
        </w:rPr>
      </w:pPr>
    </w:p>
    <w:p w14:paraId="606B87D4" w14:textId="77777777" w:rsidR="007F7B09" w:rsidRPr="007F4E9F" w:rsidRDefault="0021378C" w:rsidP="0032235A">
      <w:pPr>
        <w:jc w:val="both"/>
        <w:rPr>
          <w:rFonts w:ascii="Times New Roman" w:eastAsia="Arial Narrow" w:hAnsi="Times New Roman" w:cs="Times New Roman"/>
        </w:rPr>
      </w:pPr>
      <w:r w:rsidRPr="007F4E9F">
        <w:rPr>
          <w:rFonts w:ascii="Times New Roman" w:eastAsia="Arial Narrow" w:hAnsi="Times New Roman" w:cs="Times New Roman"/>
        </w:rPr>
        <w:t xml:space="preserve">Así mismo, la estrategia de gobernanza entregada en el producto 2, ofrece un capítulo específico para la sostenibilidad operativa y financiera de la plataforma para garantizar la continuidad de los procesos y garantizar la gobernanza propuesta. </w:t>
      </w:r>
      <w:r w:rsidR="00E536BE" w:rsidRPr="007F4E9F">
        <w:rPr>
          <w:rFonts w:ascii="Times New Roman" w:eastAsia="Arial Narrow" w:hAnsi="Times New Roman" w:cs="Times New Roman"/>
        </w:rPr>
        <w:t xml:space="preserve">La implementación rigurosa de esta estrategia augura la sostenibilidad de la plataforma siempre y cuando se superen las limitaciones técnicas que presenta actualmente. </w:t>
      </w:r>
    </w:p>
    <w:p w14:paraId="3D615876" w14:textId="41765A7F" w:rsidR="00E536BE" w:rsidRPr="007F4E9F" w:rsidRDefault="00E536BE" w:rsidP="0032235A">
      <w:pPr>
        <w:jc w:val="both"/>
        <w:rPr>
          <w:rFonts w:ascii="Times New Roman" w:eastAsia="Arial Narrow" w:hAnsi="Times New Roman" w:cs="Times New Roman"/>
        </w:rPr>
      </w:pPr>
      <w:r w:rsidRPr="007F4E9F">
        <w:rPr>
          <w:rFonts w:ascii="Times New Roman" w:eastAsia="Arial Narrow" w:hAnsi="Times New Roman" w:cs="Times New Roman"/>
        </w:rPr>
        <w:t xml:space="preserve">La estrategia de sostenibilidad </w:t>
      </w:r>
      <w:r w:rsidR="007F7B09" w:rsidRPr="007F4E9F">
        <w:rPr>
          <w:rFonts w:ascii="Times New Roman" w:eastAsia="Arial Narrow" w:hAnsi="Times New Roman" w:cs="Times New Roman"/>
        </w:rPr>
        <w:t xml:space="preserve">propuesta </w:t>
      </w:r>
      <w:r w:rsidRPr="007F4E9F">
        <w:rPr>
          <w:rFonts w:ascii="Times New Roman" w:eastAsia="Arial Narrow" w:hAnsi="Times New Roman" w:cs="Times New Roman"/>
        </w:rPr>
        <w:t>integra recomendaciones del periodo de administración; la determinación del direccionamiento y el funcionamiento operativo de la plataforma; los lineamientos y gestión de recursos para la operación de la plataforma; las fuentes de financiación; el esquema de mantenimiento, actualización y soporte de la plataforma con el mantenimiento preventivo, correctivo y evolutivo, actualizaciones de software, funcionales y de seguridad</w:t>
      </w:r>
      <w:r w:rsidR="007F7B09" w:rsidRPr="007F4E9F">
        <w:rPr>
          <w:rFonts w:ascii="Times New Roman" w:eastAsia="Arial Narrow" w:hAnsi="Times New Roman" w:cs="Times New Roman"/>
        </w:rPr>
        <w:t xml:space="preserve">, soportes, canales de atención, seguimiento y mejora continua. </w:t>
      </w:r>
    </w:p>
    <w:p w14:paraId="4719EAAF" w14:textId="636D97B0" w:rsidR="00B14ADF" w:rsidRPr="007F4E9F" w:rsidRDefault="00B14ADF" w:rsidP="0032235A">
      <w:pPr>
        <w:jc w:val="both"/>
        <w:rPr>
          <w:rFonts w:ascii="Times New Roman" w:hAnsi="Times New Roman" w:cs="Times New Roman"/>
        </w:rPr>
      </w:pPr>
      <w:r w:rsidRPr="007F4E9F">
        <w:rPr>
          <w:rFonts w:ascii="Times New Roman" w:eastAsia="Arial Narrow" w:hAnsi="Times New Roman" w:cs="Times New Roman"/>
        </w:rPr>
        <w:t xml:space="preserve">Adicionalmente, en el aspecto técnico, </w:t>
      </w:r>
      <w:r w:rsidRPr="007F4E9F">
        <w:rPr>
          <w:rFonts w:ascii="Times New Roman" w:hAnsi="Times New Roman" w:cs="Times New Roman"/>
        </w:rPr>
        <w:t xml:space="preserve">si bien la plataforma cuenta con una estructura funcional que cumple con el propósito de conectar a los actores del ecosistema, la experiencia de navegación e interacción presenta algunas áreas de mejora para optimizar su adopción masiva, algunas de estas son: </w:t>
      </w:r>
    </w:p>
    <w:p w14:paraId="484D08C0" w14:textId="77777777" w:rsidR="00B14ADF" w:rsidRPr="007F4E9F" w:rsidRDefault="00B14ADF" w:rsidP="005C3660">
      <w:pPr>
        <w:pStyle w:val="ListParagraph"/>
        <w:numPr>
          <w:ilvl w:val="0"/>
          <w:numId w:val="13"/>
        </w:numPr>
        <w:spacing w:after="160" w:line="259" w:lineRule="auto"/>
        <w:jc w:val="both"/>
        <w:rPr>
          <w:rFonts w:ascii="Times New Roman" w:hAnsi="Times New Roman" w:cs="Times New Roman"/>
        </w:rPr>
      </w:pPr>
      <w:r w:rsidRPr="007F4E9F">
        <w:rPr>
          <w:rFonts w:ascii="Times New Roman" w:hAnsi="Times New Roman" w:cs="Times New Roman"/>
        </w:rPr>
        <w:t>Flexibilización del “Muro de Registro”: actualmente, el sistema exige crear una cuenta e iniciar sesión de manera obligatoria para poder explorar en detalle los productos publicados en el catálogo. Liberar parte de esta visualización para usuarios invitados (permitiendo ver qué hay disponible, aunque se exija registro para contactar) ayudaría a reducir la fricción inicial y a atraer más empresas.</w:t>
      </w:r>
    </w:p>
    <w:p w14:paraId="4E558B09" w14:textId="77777777" w:rsidR="00B14ADF" w:rsidRPr="007F4E9F" w:rsidRDefault="00B14ADF" w:rsidP="005C3660">
      <w:pPr>
        <w:pStyle w:val="ListParagraph"/>
        <w:numPr>
          <w:ilvl w:val="0"/>
          <w:numId w:val="13"/>
        </w:numPr>
        <w:spacing w:after="160" w:line="259" w:lineRule="auto"/>
        <w:jc w:val="both"/>
        <w:rPr>
          <w:rFonts w:ascii="Times New Roman" w:hAnsi="Times New Roman" w:cs="Times New Roman"/>
        </w:rPr>
      </w:pPr>
      <w:r w:rsidRPr="007F4E9F">
        <w:rPr>
          <w:rFonts w:ascii="Times New Roman" w:hAnsi="Times New Roman" w:cs="Times New Roman"/>
        </w:rPr>
        <w:t>Integración de notificaciones externas: el éxito de la herramienta depende de la rapidez de las respuestas. Al contar únicamente con un buzón de mensajes interno, los usuarios deben ingresar proactivamente a la plataforma para saber si alguien los contactó. Integrar un sistema de alertas automáticas dirigidas al correo electrónico corporativo evitaría la pérdida de oportunidades de negocio.</w:t>
      </w:r>
    </w:p>
    <w:p w14:paraId="42C3B794" w14:textId="77777777" w:rsidR="00B14ADF" w:rsidRPr="007F4E9F" w:rsidRDefault="00B14ADF" w:rsidP="005C3660">
      <w:pPr>
        <w:pStyle w:val="ListParagraph"/>
        <w:numPr>
          <w:ilvl w:val="0"/>
          <w:numId w:val="13"/>
        </w:numPr>
        <w:spacing w:after="160" w:line="259" w:lineRule="auto"/>
        <w:jc w:val="both"/>
        <w:rPr>
          <w:rFonts w:ascii="Times New Roman" w:hAnsi="Times New Roman" w:cs="Times New Roman"/>
        </w:rPr>
      </w:pPr>
      <w:r w:rsidRPr="007F4E9F">
        <w:rPr>
          <w:rFonts w:ascii="Times New Roman" w:hAnsi="Times New Roman" w:cs="Times New Roman"/>
        </w:rPr>
        <w:t>Ajustes de accesibilidad visual: desde la perspectiva técnica, existen ajustes menores en el diseño de la interfaz (como mejorar los niveles de contraste de color en botones y textos) que son necesarios para cumplir a cabalidad con el estándar internacional de accesibilidad web (</w:t>
      </w:r>
      <w:commentRangeStart w:id="95"/>
      <w:r w:rsidRPr="007F4E9F">
        <w:rPr>
          <w:rFonts w:ascii="Times New Roman" w:hAnsi="Times New Roman" w:cs="Times New Roman"/>
        </w:rPr>
        <w:t>Nivel AA</w:t>
      </w:r>
      <w:commentRangeEnd w:id="95"/>
      <w:r w:rsidR="009D00D4" w:rsidRPr="007F4E9F">
        <w:rPr>
          <w:rStyle w:val="CommentReference"/>
          <w:rFonts w:ascii="Times New Roman" w:hAnsi="Times New Roman" w:cs="Times New Roman"/>
          <w:sz w:val="22"/>
          <w:szCs w:val="22"/>
        </w:rPr>
        <w:commentReference w:id="95"/>
      </w:r>
      <w:r w:rsidRPr="007F4E9F">
        <w:rPr>
          <w:rFonts w:ascii="Times New Roman" w:hAnsi="Times New Roman" w:cs="Times New Roman"/>
        </w:rPr>
        <w:t>), garantizando que la herramienta sea inclusiva para todo tipo de usuarios.</w:t>
      </w:r>
    </w:p>
    <w:p w14:paraId="3EC17A90" w14:textId="42352C0D" w:rsidR="00D13C3C" w:rsidRPr="007F4E9F" w:rsidRDefault="00D13C3C" w:rsidP="0032235A">
      <w:pPr>
        <w:pStyle w:val="Heading4"/>
        <w:jc w:val="both"/>
        <w:rPr>
          <w:rFonts w:ascii="Times New Roman" w:hAnsi="Times New Roman"/>
        </w:rPr>
      </w:pPr>
      <w:bookmarkStart w:id="96" w:name="_Toc226750211"/>
      <w:r w:rsidRPr="007F4E9F">
        <w:rPr>
          <w:rFonts w:ascii="Times New Roman" w:hAnsi="Times New Roman"/>
        </w:rPr>
        <w:t>Percepciones de los actores</w:t>
      </w:r>
      <w:bookmarkEnd w:id="96"/>
    </w:p>
    <w:p w14:paraId="04C9BBD2" w14:textId="66BD4FAD" w:rsidR="00FA7DCF" w:rsidRPr="007F4E9F" w:rsidRDefault="00FA7DCF" w:rsidP="0032235A">
      <w:pPr>
        <w:jc w:val="both"/>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color w:val="000000" w:themeColor="text1"/>
          <w:lang w:eastAsia="es-ES"/>
        </w:rPr>
        <w:t>Se recogen las percepciones de</w:t>
      </w:r>
      <w:r w:rsidR="00E52FB6" w:rsidRPr="007F4E9F">
        <w:rPr>
          <w:rFonts w:ascii="Times New Roman" w:eastAsia="Times New Roman" w:hAnsi="Times New Roman" w:cs="Times New Roman"/>
          <w:color w:val="000000" w:themeColor="text1"/>
          <w:lang w:eastAsia="es-ES"/>
        </w:rPr>
        <w:t xml:space="preserve"> la Secretaría de Ambiente de Bogotá como organismo ejecutor, el comité directivo, Los profesionales de Mercadeo y TI y de los usuarios de la plataforma.</w:t>
      </w:r>
    </w:p>
    <w:p w14:paraId="37F25B41" w14:textId="77777777" w:rsidR="00A16E01" w:rsidRPr="007F4E9F" w:rsidRDefault="00A16E01" w:rsidP="00A16E01">
      <w:pPr>
        <w:spacing w:line="240" w:lineRule="auto"/>
        <w:jc w:val="both"/>
        <w:rPr>
          <w:rFonts w:ascii="Times New Roman" w:hAnsi="Times New Roman" w:cs="Times New Roman"/>
        </w:rPr>
      </w:pPr>
      <w:r w:rsidRPr="007F4E9F">
        <w:rPr>
          <w:rFonts w:ascii="Times New Roman" w:hAnsi="Times New Roman" w:cs="Times New Roman"/>
        </w:rPr>
        <w:t>En la mesa de trabajo con la secretaría distrital de ambiente, se indagó si la secretaría había destinado personal capacitado para administrar y dar soporte al Marketplace una vez finalizado el proyecto. Al cierre de este informe se contaba con soporte de la oficina de TI a través de solicitudes por la mesa de servicio de la entidad, sin embargo no se contaba con personal exclusivo para las tareas de mantenimiento, mejora y soporte a la plataforma dado que el contratista con estas funciones termino su contrato en diciembre y actualmente por razones presupuestales, además de la ley de garantías que aplica en Colombia con motivo de las elecciones al congreso en el mes de marzo y presidenciales en el mes de mayo, no es posible vincular a un profesional se soporte.</w:t>
      </w:r>
    </w:p>
    <w:p w14:paraId="67A39165" w14:textId="77777777" w:rsidR="00A16E01" w:rsidRPr="007F4E9F" w:rsidRDefault="00A16E01" w:rsidP="00A16E01">
      <w:pPr>
        <w:spacing w:line="240" w:lineRule="auto"/>
        <w:jc w:val="both"/>
        <w:rPr>
          <w:rFonts w:ascii="Times New Roman" w:hAnsi="Times New Roman" w:cs="Times New Roman"/>
        </w:rPr>
      </w:pPr>
      <w:r w:rsidRPr="007F4E9F">
        <w:rPr>
          <w:rFonts w:ascii="Times New Roman" w:hAnsi="Times New Roman" w:cs="Times New Roman"/>
        </w:rPr>
        <w:t>Sin embargo, existe la intención, siempre que sea posible, de destinar los rendimientos financieros del proyecto en mejoras a la web, desarrollo de productos no ejecutados del Componente Tres o cubrir sobrecostos, pero no se decidirá hasta el cierre de la auditoría y después de que finalice la Ley de Garantías.</w:t>
      </w:r>
    </w:p>
    <w:p w14:paraId="090DC628" w14:textId="77777777" w:rsidR="00A16E01" w:rsidRPr="007F4E9F" w:rsidRDefault="00A16E01" w:rsidP="00A16E01">
      <w:pPr>
        <w:spacing w:line="240" w:lineRule="auto"/>
        <w:jc w:val="both"/>
        <w:rPr>
          <w:rFonts w:ascii="Times New Roman" w:hAnsi="Times New Roman" w:cs="Times New Roman"/>
        </w:rPr>
      </w:pPr>
      <w:r w:rsidRPr="007F4E9F">
        <w:rPr>
          <w:rFonts w:ascii="Times New Roman" w:hAnsi="Times New Roman" w:cs="Times New Roman"/>
        </w:rPr>
        <w:t xml:space="preserve">Adicionalmente en la mesa de trabajo con la SDA se indagó sobre la destinación de recursos o personal en contrapartida para la plataforma por parte de las otras ciudades beneficiarias. La respuesta negativa genera una alerta para la sostenibilidad técnica y financiera ya que actualmente su continuidad depende únicamente de la SDA. </w:t>
      </w:r>
    </w:p>
    <w:p w14:paraId="40A473AA" w14:textId="2AA25EFD" w:rsidR="00E52FB6" w:rsidRPr="007F4E9F" w:rsidRDefault="00A10343" w:rsidP="0032235A">
      <w:pPr>
        <w:jc w:val="both"/>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color w:val="000000" w:themeColor="text1"/>
          <w:lang w:eastAsia="es-ES"/>
        </w:rPr>
        <w:t xml:space="preserve">Seguidamente se presentan las percepciones de los </w:t>
      </w:r>
      <w:r w:rsidR="00E52FB6" w:rsidRPr="007F4E9F">
        <w:rPr>
          <w:rFonts w:ascii="Times New Roman" w:eastAsia="Times New Roman" w:hAnsi="Times New Roman" w:cs="Times New Roman"/>
          <w:color w:val="000000" w:themeColor="text1"/>
          <w:lang w:eastAsia="es-ES"/>
        </w:rPr>
        <w:t>usuarios de la plataforma</w:t>
      </w:r>
      <w:r w:rsidRPr="007F4E9F">
        <w:rPr>
          <w:rFonts w:ascii="Times New Roman" w:eastAsia="Times New Roman" w:hAnsi="Times New Roman" w:cs="Times New Roman"/>
          <w:color w:val="000000" w:themeColor="text1"/>
          <w:lang w:eastAsia="es-ES"/>
        </w:rPr>
        <w:t>, donde se infiere que</w:t>
      </w:r>
      <w:r w:rsidR="00E52FB6" w:rsidRPr="007F4E9F">
        <w:rPr>
          <w:rFonts w:ascii="Times New Roman" w:eastAsia="Times New Roman" w:hAnsi="Times New Roman" w:cs="Times New Roman"/>
          <w:color w:val="000000" w:themeColor="text1"/>
          <w:lang w:eastAsia="es-ES"/>
        </w:rPr>
        <w:t xml:space="preserve"> les interesa la sostenibilidad de la plataforma y por eso se les pregunta lo siguiente: </w:t>
      </w:r>
    </w:p>
    <w:tbl>
      <w:tblPr>
        <w:tblStyle w:val="TableGrid"/>
        <w:tblW w:w="0" w:type="auto"/>
        <w:tblLook w:val="04A0" w:firstRow="1" w:lastRow="0" w:firstColumn="1" w:lastColumn="0" w:noHBand="0" w:noVBand="1"/>
      </w:tblPr>
      <w:tblGrid>
        <w:gridCol w:w="2237"/>
        <w:gridCol w:w="6393"/>
      </w:tblGrid>
      <w:tr w:rsidR="00E52FB6" w:rsidRPr="007F4E9F" w14:paraId="4B432815" w14:textId="77777777" w:rsidTr="00E52FB6">
        <w:tc>
          <w:tcPr>
            <w:tcW w:w="2263" w:type="dxa"/>
            <w:vAlign w:val="center"/>
          </w:tcPr>
          <w:p w14:paraId="4584CA1C" w14:textId="77777777" w:rsidR="00E52FB6" w:rsidRPr="007F4E9F" w:rsidRDefault="00E52FB6" w:rsidP="0032235A">
            <w:pPr>
              <w:jc w:val="both"/>
              <w:rPr>
                <w:rFonts w:ascii="Times New Roman" w:hAnsi="Times New Roman" w:cs="Times New Roman"/>
              </w:rPr>
            </w:pPr>
            <w:r w:rsidRPr="007F4E9F">
              <w:rPr>
                <w:rFonts w:ascii="Times New Roman" w:hAnsi="Times New Roman" w:cs="Times New Roman"/>
              </w:rPr>
              <w:t>Sostenibilidad</w:t>
            </w:r>
          </w:p>
        </w:tc>
        <w:tc>
          <w:tcPr>
            <w:tcW w:w="6565" w:type="dxa"/>
            <w:vAlign w:val="center"/>
          </w:tcPr>
          <w:p w14:paraId="124A664C" w14:textId="77777777" w:rsidR="00E52FB6" w:rsidRPr="007F4E9F" w:rsidRDefault="00E52FB6" w:rsidP="0032235A">
            <w:pPr>
              <w:jc w:val="both"/>
              <w:rPr>
                <w:rFonts w:ascii="Times New Roman" w:hAnsi="Times New Roman" w:cs="Times New Roman"/>
              </w:rPr>
            </w:pPr>
            <w:r w:rsidRPr="007F4E9F">
              <w:rPr>
                <w:rFonts w:ascii="Times New Roman" w:hAnsi="Times New Roman" w:cs="Times New Roman"/>
              </w:rPr>
              <w:t>12. Me resulta de gran interés y utilidad para mi negocio que este Marketplace continúe funcionando y operando en el futuro.</w:t>
            </w:r>
          </w:p>
        </w:tc>
      </w:tr>
    </w:tbl>
    <w:p w14:paraId="62D449B2" w14:textId="3222CBA1" w:rsidR="00E52FB6" w:rsidRPr="007F4E9F" w:rsidRDefault="00E52FB6" w:rsidP="0032235A">
      <w:pPr>
        <w:jc w:val="both"/>
        <w:rPr>
          <w:rFonts w:ascii="Times New Roman" w:hAnsi="Times New Roman" w:cs="Times New Roman"/>
        </w:rPr>
      </w:pPr>
    </w:p>
    <w:p w14:paraId="335EB0C1" w14:textId="7123B5B9" w:rsidR="00A16E01" w:rsidRPr="007F4E9F" w:rsidRDefault="00A16E01" w:rsidP="00A16E01">
      <w:pPr>
        <w:spacing w:line="240" w:lineRule="auto"/>
        <w:jc w:val="both"/>
        <w:rPr>
          <w:rFonts w:ascii="Times New Roman" w:hAnsi="Times New Roman" w:cs="Times New Roman"/>
        </w:rPr>
      </w:pPr>
      <w:r w:rsidRPr="007F4E9F">
        <w:rPr>
          <w:rFonts w:ascii="Times New Roman" w:hAnsi="Times New Roman" w:cs="Times New Roman"/>
        </w:rPr>
        <w:t>La evaluación de la sostenibilidad revela el alto valor intrínseco del proyecto. A pesar de las graves fricciones operativas detectadas, 5 de 21 encuestados manifiesta un interés positivo y 7 de 21 encuestado manifiesta un interés en que este Marketplace continúe funcionando y operando en el futuro. Esta métrica demuestra que el sector privado valida la necesidad de contar con una red digital regional para la proveeduría circular. Este respaldo representa una ventana de oportunidad crítica para las contrapartes institucionales, si se ejecuta un plan de estabilización técnica y de mejoras de usabilidad a corto plazo, existe una base de usuarios dispuestos a adoptar la herramienta, lo cual es fundamental para garantizar su sostenibilidad más allá de la finalización de la cooperación técnica.</w:t>
      </w:r>
      <w:r w:rsidR="008330F3" w:rsidRPr="007F4E9F">
        <w:rPr>
          <w:rFonts w:ascii="Times New Roman" w:hAnsi="Times New Roman" w:cs="Times New Roman"/>
        </w:rPr>
        <w:t xml:space="preserve"> Ver figura 9.</w:t>
      </w:r>
    </w:p>
    <w:p w14:paraId="1E116B17" w14:textId="77777777" w:rsidR="00470492" w:rsidRPr="007F4E9F" w:rsidRDefault="00A16E01" w:rsidP="00470492">
      <w:pPr>
        <w:keepNext/>
        <w:spacing w:line="240" w:lineRule="auto"/>
        <w:jc w:val="both"/>
      </w:pPr>
      <w:r w:rsidRPr="007F4E9F">
        <w:rPr>
          <w:rFonts w:ascii="Times New Roman" w:hAnsi="Times New Roman" w:cs="Times New Roman"/>
          <w:noProof/>
        </w:rPr>
        <w:drawing>
          <wp:inline distT="0" distB="0" distL="0" distR="0" wp14:anchorId="6C792E36" wp14:editId="7FEEC19A">
            <wp:extent cx="4584700" cy="2755900"/>
            <wp:effectExtent l="0" t="0" r="6350" b="635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2AFB1D5" w14:textId="7016EA21" w:rsidR="00A16E01" w:rsidRPr="007F4E9F" w:rsidRDefault="00470492" w:rsidP="00470492">
      <w:pPr>
        <w:pStyle w:val="Caption"/>
        <w:jc w:val="both"/>
        <w:rPr>
          <w:rFonts w:ascii="Times New Roman" w:hAnsi="Times New Roman" w:cs="Times New Roman"/>
          <w:sz w:val="22"/>
        </w:rPr>
      </w:pPr>
      <w:r w:rsidRPr="007F4E9F">
        <w:t xml:space="preserve">Figura </w:t>
      </w:r>
      <w:r w:rsidR="00AD38CF" w:rsidRPr="007F4E9F">
        <w:fldChar w:fldCharType="begin"/>
      </w:r>
      <w:r w:rsidR="00AD38CF" w:rsidRPr="007F4E9F">
        <w:instrText xml:space="preserve"> SEQ Figura \* ARABIC </w:instrText>
      </w:r>
      <w:r w:rsidR="00AD38CF" w:rsidRPr="007F4E9F">
        <w:fldChar w:fldCharType="separate"/>
      </w:r>
      <w:r w:rsidR="00966267" w:rsidRPr="007F4E9F">
        <w:rPr>
          <w:noProof/>
        </w:rPr>
        <w:t>16</w:t>
      </w:r>
      <w:r w:rsidR="00AD38CF" w:rsidRPr="007F4E9F">
        <w:fldChar w:fldCharType="end"/>
      </w:r>
      <w:r w:rsidRPr="007F4E9F">
        <w:t xml:space="preserve">. </w:t>
      </w:r>
      <w:r w:rsidRPr="007F4E9F">
        <w:rPr>
          <w:i/>
          <w:iCs/>
        </w:rPr>
        <w:t>Percepciones de los usuarios de la plataforma para la sostenibilidad</w:t>
      </w:r>
    </w:p>
    <w:p w14:paraId="7A23DCC1" w14:textId="77777777" w:rsidR="00603D77" w:rsidRPr="007F4E9F" w:rsidRDefault="00A16E01" w:rsidP="0032235A">
      <w:pPr>
        <w:jc w:val="both"/>
        <w:rPr>
          <w:rFonts w:ascii="Times New Roman" w:hAnsi="Times New Roman" w:cs="Times New Roman"/>
        </w:rPr>
      </w:pPr>
      <w:r w:rsidRPr="007F4E9F">
        <w:rPr>
          <w:rFonts w:ascii="Times New Roman" w:hAnsi="Times New Roman" w:cs="Times New Roman"/>
          <w:b/>
          <w:bCs/>
        </w:rPr>
        <w:t>Fuente:</w:t>
      </w:r>
      <w:r w:rsidRPr="007F4E9F">
        <w:rPr>
          <w:rFonts w:ascii="Times New Roman" w:hAnsi="Times New Roman" w:cs="Times New Roman"/>
        </w:rPr>
        <w:t xml:space="preserve"> elaboración propia</w:t>
      </w:r>
    </w:p>
    <w:p w14:paraId="35377573" w14:textId="77777777" w:rsidR="00603D77" w:rsidRPr="007F4E9F" w:rsidRDefault="00603D77" w:rsidP="0032235A">
      <w:pPr>
        <w:jc w:val="both"/>
        <w:rPr>
          <w:rFonts w:ascii="Times New Roman" w:hAnsi="Times New Roman" w:cs="Times New Roman"/>
        </w:rPr>
      </w:pPr>
    </w:p>
    <w:p w14:paraId="1340F6DD" w14:textId="4CD8D385" w:rsidR="00B14ADF" w:rsidRPr="007F4E9F" w:rsidRDefault="00B14ADF" w:rsidP="0032235A">
      <w:pPr>
        <w:jc w:val="both"/>
        <w:rPr>
          <w:rFonts w:ascii="Times New Roman" w:hAnsi="Times New Roman" w:cs="Times New Roman"/>
          <w:b/>
          <w:bCs/>
        </w:rPr>
      </w:pPr>
      <w:r w:rsidRPr="007F4E9F">
        <w:rPr>
          <w:rFonts w:ascii="Times New Roman" w:hAnsi="Times New Roman" w:cs="Times New Roman"/>
          <w:b/>
          <w:bCs/>
        </w:rPr>
        <w:t>Mejoras y beneficios (preguntas 18 y 20)</w:t>
      </w:r>
    </w:p>
    <w:p w14:paraId="3E4B3322" w14:textId="77777777" w:rsidR="00B14ADF" w:rsidRPr="007F4E9F" w:rsidRDefault="00B14ADF" w:rsidP="0032235A">
      <w:pPr>
        <w:jc w:val="both"/>
        <w:rPr>
          <w:rFonts w:ascii="Times New Roman" w:hAnsi="Times New Roman" w:cs="Times New Roman"/>
          <w:b/>
          <w:bCs/>
        </w:rPr>
      </w:pPr>
      <w:r w:rsidRPr="007F4E9F">
        <w:rPr>
          <w:rFonts w:ascii="Times New Roman" w:hAnsi="Times New Roman" w:cs="Times New Roman"/>
          <w:b/>
          <w:bCs/>
        </w:rPr>
        <w:t>Sugerencias de Mejora</w:t>
      </w:r>
    </w:p>
    <w:p w14:paraId="14FDA110" w14:textId="77777777" w:rsidR="00B14ADF" w:rsidRPr="007F4E9F" w:rsidRDefault="00B14ADF" w:rsidP="0032235A">
      <w:pPr>
        <w:jc w:val="both"/>
        <w:rPr>
          <w:rFonts w:ascii="Times New Roman" w:hAnsi="Times New Roman" w:cs="Times New Roman"/>
        </w:rPr>
      </w:pPr>
      <w:r w:rsidRPr="007F4E9F">
        <w:rPr>
          <w:rFonts w:ascii="Times New Roman" w:hAnsi="Times New Roman" w:cs="Times New Roman"/>
        </w:rPr>
        <w:t>Se analizaron las 13 respuestas válidas de la pregunta: 20. Si pudiera sugerir una mejora fundamental para que el Marketplace sea más útil para su empresa, ¿cuál sería?</w:t>
      </w:r>
    </w:p>
    <w:p w14:paraId="312C9C70" w14:textId="77777777" w:rsidR="00B14ADF" w:rsidRPr="007F4E9F" w:rsidRDefault="00B14ADF" w:rsidP="0032235A">
      <w:pPr>
        <w:jc w:val="both"/>
        <w:rPr>
          <w:rFonts w:ascii="Times New Roman" w:hAnsi="Times New Roman" w:cs="Times New Roman"/>
        </w:rPr>
      </w:pPr>
    </w:p>
    <w:p w14:paraId="0929BC86" w14:textId="77777777" w:rsidR="00470492" w:rsidRPr="007F4E9F" w:rsidRDefault="00B14ADF" w:rsidP="00470492">
      <w:pPr>
        <w:keepNext/>
        <w:jc w:val="both"/>
      </w:pPr>
      <w:r w:rsidRPr="007F4E9F">
        <w:rPr>
          <w:rFonts w:ascii="Times New Roman" w:hAnsi="Times New Roman" w:cs="Times New Roman"/>
          <w:noProof/>
        </w:rPr>
        <mc:AlternateContent>
          <mc:Choice Requires="cx1">
            <w:drawing>
              <wp:inline distT="0" distB="0" distL="0" distR="0" wp14:anchorId="4302B3E0" wp14:editId="7735AADB">
                <wp:extent cx="5486400" cy="4200777"/>
                <wp:effectExtent l="0" t="0" r="0" b="9525"/>
                <wp:docPr id="54731420" name="Gráfico 1">
                  <a:extLst xmlns:a="http://schemas.openxmlformats.org/drawingml/2006/main">
                    <a:ext uri="{FF2B5EF4-FFF2-40B4-BE49-F238E27FC236}">
                      <a16:creationId xmlns:a16="http://schemas.microsoft.com/office/drawing/2014/main" id="{57BD74C7-7989-EB49-5A02-8366816861A1}"/>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28"/>
                  </a:graphicData>
                </a:graphic>
              </wp:inline>
            </w:drawing>
          </mc:Choice>
          <mc:Fallback>
            <w:drawing>
              <wp:inline distT="0" distB="0" distL="0" distR="0" wp14:anchorId="4302B3E0" wp14:editId="7735AADB">
                <wp:extent cx="5486400" cy="4200777"/>
                <wp:effectExtent l="0" t="0" r="0" b="9525"/>
                <wp:docPr id="54731420" name="Gráfico 1">
                  <a:extLst xmlns:a="http://schemas.openxmlformats.org/drawingml/2006/main">
                    <a:ext uri="{FF2B5EF4-FFF2-40B4-BE49-F238E27FC236}">
                      <a16:creationId xmlns:a16="http://schemas.microsoft.com/office/drawing/2014/main" id="{57BD74C7-7989-EB49-5A02-8366816861A1}"/>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54731420" name="Gráfico 1">
                          <a:extLst>
                            <a:ext uri="{FF2B5EF4-FFF2-40B4-BE49-F238E27FC236}">
                              <a16:creationId xmlns:a16="http://schemas.microsoft.com/office/drawing/2014/main" id="{57BD74C7-7989-EB49-5A02-8366816861A1}"/>
                            </a:ext>
                          </a:extLst>
                        </pic:cNvPr>
                        <pic:cNvPicPr>
                          <a:picLocks noGrp="1" noRot="1" noChangeAspect="1" noMove="1" noResize="1" noEditPoints="1" noAdjustHandles="1" noChangeArrowheads="1" noChangeShapeType="1"/>
                        </pic:cNvPicPr>
                      </pic:nvPicPr>
                      <pic:blipFill>
                        <a:blip r:embed="rId29"/>
                        <a:stretch>
                          <a:fillRect/>
                        </a:stretch>
                      </pic:blipFill>
                      <pic:spPr>
                        <a:xfrm>
                          <a:off x="0" y="0"/>
                          <a:ext cx="5486400" cy="4200525"/>
                        </a:xfrm>
                        <a:prstGeom prst="rect">
                          <a:avLst/>
                        </a:prstGeom>
                      </pic:spPr>
                    </pic:pic>
                  </a:graphicData>
                </a:graphic>
              </wp:inline>
            </w:drawing>
          </mc:Fallback>
        </mc:AlternateContent>
      </w:r>
    </w:p>
    <w:p w14:paraId="7BEAB068" w14:textId="38BE275C" w:rsidR="00A10343" w:rsidRPr="007F4E9F" w:rsidRDefault="00470492" w:rsidP="00470492">
      <w:pPr>
        <w:pStyle w:val="Caption"/>
        <w:jc w:val="both"/>
        <w:rPr>
          <w:rFonts w:ascii="Times New Roman" w:hAnsi="Times New Roman" w:cs="Times New Roman"/>
          <w:sz w:val="22"/>
        </w:rPr>
      </w:pPr>
      <w:r w:rsidRPr="007F4E9F">
        <w:t xml:space="preserve">Figura </w:t>
      </w:r>
      <w:r w:rsidR="00AD38CF" w:rsidRPr="007F4E9F">
        <w:fldChar w:fldCharType="begin"/>
      </w:r>
      <w:r w:rsidR="00AD38CF" w:rsidRPr="007F4E9F">
        <w:instrText xml:space="preserve"> SEQ Figura \* ARABIC </w:instrText>
      </w:r>
      <w:r w:rsidR="00AD38CF" w:rsidRPr="007F4E9F">
        <w:fldChar w:fldCharType="separate"/>
      </w:r>
      <w:r w:rsidR="00966267" w:rsidRPr="007F4E9F">
        <w:rPr>
          <w:noProof/>
        </w:rPr>
        <w:t>17</w:t>
      </w:r>
      <w:r w:rsidR="00AD38CF" w:rsidRPr="007F4E9F">
        <w:fldChar w:fldCharType="end"/>
      </w:r>
      <w:r w:rsidRPr="007F4E9F">
        <w:t xml:space="preserve">. </w:t>
      </w:r>
      <w:r w:rsidRPr="007F4E9F">
        <w:rPr>
          <w:i/>
          <w:iCs/>
        </w:rPr>
        <w:t>Mejoras sugeridas al Marketplace por parte de las empresas usuarias de la plataforma</w:t>
      </w:r>
    </w:p>
    <w:p w14:paraId="5371AF68" w14:textId="77777777" w:rsidR="007554D3" w:rsidRPr="007F4E9F" w:rsidRDefault="007554D3" w:rsidP="007554D3">
      <w:pPr>
        <w:spacing w:line="240" w:lineRule="auto"/>
        <w:jc w:val="both"/>
        <w:rPr>
          <w:rFonts w:ascii="Times New Roman" w:hAnsi="Times New Roman" w:cs="Times New Roman"/>
        </w:rPr>
      </w:pPr>
      <w:r w:rsidRPr="007F4E9F">
        <w:rPr>
          <w:rFonts w:ascii="Times New Roman" w:hAnsi="Times New Roman" w:cs="Times New Roman"/>
          <w:b/>
          <w:bCs/>
        </w:rPr>
        <w:t>Fuente:</w:t>
      </w:r>
      <w:r w:rsidRPr="007F4E9F">
        <w:rPr>
          <w:rFonts w:ascii="Times New Roman" w:hAnsi="Times New Roman" w:cs="Times New Roman"/>
        </w:rPr>
        <w:t xml:space="preserve"> elaboración propia.</w:t>
      </w:r>
    </w:p>
    <w:p w14:paraId="7526A842" w14:textId="77777777" w:rsidR="00FD501B" w:rsidRPr="007F4E9F" w:rsidRDefault="00FD501B" w:rsidP="0032235A">
      <w:pPr>
        <w:spacing w:after="0" w:line="240" w:lineRule="auto"/>
        <w:jc w:val="both"/>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color w:val="000000" w:themeColor="text1"/>
          <w:lang w:eastAsia="es-ES"/>
        </w:rPr>
        <w:t>Los actores presentes en los espacios de validación manifiestan que la sostenibilidad de la plataforma depende en gran medida del dinamismo que se logre en la actualización de sus contenidos, la actividad constante de los usuarios y los espacios de intercambio de conocimiento constante. Se refuerza la necesidad de consolidar el mecanismo de coordinación en la operatividad y sostenibilidad de la plataforma, así como su mantenimiento y soporte continuo.</w:t>
      </w:r>
    </w:p>
    <w:p w14:paraId="6711E356" w14:textId="77777777" w:rsidR="00FD501B" w:rsidRPr="007F4E9F" w:rsidRDefault="00FD501B" w:rsidP="0032235A">
      <w:pPr>
        <w:spacing w:after="0" w:line="240" w:lineRule="auto"/>
        <w:jc w:val="both"/>
        <w:rPr>
          <w:rFonts w:ascii="Times New Roman" w:eastAsia="Times New Roman" w:hAnsi="Times New Roman" w:cs="Times New Roman"/>
          <w:color w:val="000000" w:themeColor="text1"/>
          <w:lang w:eastAsia="es-ES"/>
        </w:rPr>
      </w:pPr>
    </w:p>
    <w:p w14:paraId="344B41B8" w14:textId="55AD9974" w:rsidR="00FD501B" w:rsidRPr="007F4E9F" w:rsidRDefault="00FD501B" w:rsidP="0032235A">
      <w:pPr>
        <w:spacing w:after="0" w:line="240" w:lineRule="auto"/>
        <w:jc w:val="both"/>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color w:val="000000" w:themeColor="text1"/>
          <w:lang w:eastAsia="es-ES"/>
        </w:rPr>
        <w:t xml:space="preserve">Así mismo, aunque la plataforma se </w:t>
      </w:r>
      <w:r w:rsidR="00251DD2" w:rsidRPr="007F4E9F">
        <w:rPr>
          <w:rFonts w:ascii="Times New Roman" w:eastAsia="Times New Roman" w:hAnsi="Times New Roman" w:cs="Times New Roman"/>
          <w:color w:val="000000" w:themeColor="text1"/>
          <w:lang w:eastAsia="es-ES"/>
        </w:rPr>
        <w:t>diseñó</w:t>
      </w:r>
      <w:r w:rsidRPr="007F4E9F">
        <w:rPr>
          <w:rFonts w:ascii="Times New Roman" w:eastAsia="Times New Roman" w:hAnsi="Times New Roman" w:cs="Times New Roman"/>
          <w:color w:val="000000" w:themeColor="text1"/>
          <w:lang w:eastAsia="es-ES"/>
        </w:rPr>
        <w:t xml:space="preserve"> para 4 sectores priorizados, es necesario complementar los sectores de interés para ampliar la oferta y la demanda y de esta manera dinamizar el tráfico de la plataforma. No obstante, antes de ampliar el número de usuarios es primordial mejorar la experiencia de usuario actual con notificaciones por correo electrónico, datos de contacto, precios de referencia, condiciones logísticas y certificaciones de los usuarios, así como la navegación en la plataforma sin necesidad de registrarse.</w:t>
      </w:r>
    </w:p>
    <w:p w14:paraId="462503C3" w14:textId="77777777" w:rsidR="00FD501B" w:rsidRPr="007F4E9F" w:rsidRDefault="00FD501B" w:rsidP="0032235A">
      <w:pPr>
        <w:spacing w:after="0" w:line="240" w:lineRule="auto"/>
        <w:jc w:val="both"/>
        <w:rPr>
          <w:rFonts w:ascii="Times New Roman" w:eastAsia="Times New Roman" w:hAnsi="Times New Roman" w:cs="Times New Roman"/>
          <w:color w:val="000000" w:themeColor="text1"/>
          <w:lang w:eastAsia="es-ES"/>
        </w:rPr>
      </w:pPr>
    </w:p>
    <w:p w14:paraId="150E3A77" w14:textId="7B97AAD6" w:rsidR="00FD501B" w:rsidRPr="007F4E9F" w:rsidRDefault="00FD501B" w:rsidP="0032235A">
      <w:pPr>
        <w:spacing w:after="0" w:line="240" w:lineRule="auto"/>
        <w:jc w:val="both"/>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color w:val="000000" w:themeColor="text1"/>
          <w:lang w:eastAsia="es-ES"/>
        </w:rPr>
        <w:t>Cómo pudo verse en el análisis de la encuesta a usuarios de la plataforma, se nota poca o nula interacción entre los usuarios debido a las limitaciones técnicas actuales. Es importante entonces, promover mayor intercambio de comunicación y productos y servicios entre los usuarios, así como la definición de indicadores para seguir el nivel de uso y desempeño del Marketplace.</w:t>
      </w:r>
    </w:p>
    <w:p w14:paraId="0481CD81" w14:textId="7B1CC2BA" w:rsidR="004117A3" w:rsidRPr="007F4E9F" w:rsidRDefault="004117A3" w:rsidP="0032235A">
      <w:pPr>
        <w:spacing w:after="0" w:line="240" w:lineRule="auto"/>
        <w:jc w:val="both"/>
        <w:rPr>
          <w:rFonts w:ascii="Times New Roman" w:eastAsia="Times New Roman" w:hAnsi="Times New Roman" w:cs="Times New Roman"/>
          <w:color w:val="000000" w:themeColor="text1"/>
          <w:lang w:eastAsia="es-ES"/>
        </w:rPr>
      </w:pPr>
    </w:p>
    <w:p w14:paraId="08534738" w14:textId="01CE2DB5" w:rsidR="004117A3" w:rsidRPr="007F4E9F" w:rsidRDefault="004117A3" w:rsidP="004117A3">
      <w:pPr>
        <w:pStyle w:val="Heading3"/>
        <w:jc w:val="both"/>
        <w:rPr>
          <w:rFonts w:ascii="Times New Roman" w:hAnsi="Times New Roman"/>
        </w:rPr>
      </w:pPr>
      <w:bookmarkStart w:id="97" w:name="_Toc226750212"/>
      <w:r w:rsidRPr="007F4E9F">
        <w:rPr>
          <w:rFonts w:ascii="Times New Roman" w:hAnsi="Times New Roman"/>
        </w:rPr>
        <w:t>Escalabilidad</w:t>
      </w:r>
      <w:bookmarkEnd w:id="97"/>
    </w:p>
    <w:p w14:paraId="5DBC2FAD" w14:textId="01321261" w:rsidR="004117A3" w:rsidRPr="007F4E9F" w:rsidRDefault="004117A3" w:rsidP="004117A3">
      <w:pPr>
        <w:pStyle w:val="Heading4"/>
      </w:pPr>
      <w:bookmarkStart w:id="98" w:name="_Toc226750213"/>
      <w:r w:rsidRPr="007F4E9F">
        <w:t>Identificación de oportunidades de replicabilidad y expansión del modelo en otras ciudades o países de la región.</w:t>
      </w:r>
      <w:bookmarkEnd w:id="98"/>
    </w:p>
    <w:p w14:paraId="19675DBF" w14:textId="77777777" w:rsidR="004117A3" w:rsidRPr="007F4E9F" w:rsidRDefault="004117A3" w:rsidP="0032235A">
      <w:pPr>
        <w:spacing w:after="0" w:line="240" w:lineRule="auto"/>
        <w:jc w:val="both"/>
        <w:rPr>
          <w:rFonts w:ascii="Times New Roman" w:eastAsia="Times New Roman" w:hAnsi="Times New Roman" w:cs="Times New Roman"/>
          <w:color w:val="000000" w:themeColor="text1"/>
          <w:lang w:eastAsia="es-ES"/>
        </w:rPr>
      </w:pPr>
    </w:p>
    <w:p w14:paraId="3A4AE033" w14:textId="51430F4A" w:rsidR="00D13C3C" w:rsidRPr="007F4E9F" w:rsidRDefault="00D13C3C" w:rsidP="0032235A">
      <w:pPr>
        <w:pStyle w:val="Heading2"/>
        <w:jc w:val="both"/>
        <w:rPr>
          <w:rFonts w:ascii="Times New Roman" w:hAnsi="Times New Roman" w:cs="Times New Roman"/>
          <w:sz w:val="22"/>
          <w:szCs w:val="22"/>
        </w:rPr>
      </w:pPr>
      <w:bookmarkStart w:id="99" w:name="_Toc226750214"/>
      <w:bookmarkStart w:id="100" w:name="_Hlk224482564"/>
      <w:bookmarkEnd w:id="88"/>
      <w:r w:rsidRPr="007F4E9F">
        <w:rPr>
          <w:rFonts w:ascii="Times New Roman" w:hAnsi="Times New Roman" w:cs="Times New Roman"/>
          <w:sz w:val="22"/>
          <w:szCs w:val="22"/>
        </w:rPr>
        <w:t xml:space="preserve">Componente 2: </w:t>
      </w:r>
      <w:r w:rsidRPr="007F4E9F">
        <w:rPr>
          <w:rFonts w:ascii="Times New Roman" w:hAnsi="Times New Roman" w:cs="Times New Roman"/>
          <w:b w:val="0"/>
          <w:bCs w:val="0"/>
          <w:sz w:val="22"/>
          <w:szCs w:val="22"/>
        </w:rPr>
        <w:t>Fortalecimiento de marco regulatorio</w:t>
      </w:r>
      <w:bookmarkEnd w:id="99"/>
    </w:p>
    <w:p w14:paraId="24E3F66E" w14:textId="6FCA2781" w:rsidR="00D13C3C" w:rsidRPr="007F4E9F" w:rsidRDefault="00D13C3C" w:rsidP="0032235A">
      <w:pPr>
        <w:jc w:val="both"/>
        <w:rPr>
          <w:rFonts w:ascii="Times New Roman" w:hAnsi="Times New Roman" w:cs="Times New Roman"/>
        </w:rPr>
      </w:pPr>
      <w:r w:rsidRPr="007F4E9F">
        <w:rPr>
          <w:rFonts w:ascii="Times New Roman" w:hAnsi="Times New Roman" w:cs="Times New Roman"/>
        </w:rPr>
        <w:t xml:space="preserve">Este componente implicaba </w:t>
      </w:r>
      <w:r w:rsidR="004B6187" w:rsidRPr="007F4E9F">
        <w:rPr>
          <w:rFonts w:ascii="Times New Roman" w:hAnsi="Times New Roman" w:cs="Times New Roman"/>
        </w:rPr>
        <w:t xml:space="preserve">4 </w:t>
      </w:r>
      <w:r w:rsidRPr="007F4E9F">
        <w:rPr>
          <w:rFonts w:ascii="Times New Roman" w:hAnsi="Times New Roman" w:cs="Times New Roman"/>
        </w:rPr>
        <w:t>productos fundamentales</w:t>
      </w:r>
      <w:r w:rsidR="004B6187" w:rsidRPr="007F4E9F">
        <w:rPr>
          <w:rFonts w:ascii="Times New Roman" w:hAnsi="Times New Roman" w:cs="Times New Roman"/>
        </w:rPr>
        <w:t xml:space="preserve"> que respondían al </w:t>
      </w:r>
      <w:r w:rsidRPr="007F4E9F">
        <w:rPr>
          <w:rFonts w:ascii="Times New Roman" w:hAnsi="Times New Roman" w:cs="Times New Roman"/>
        </w:rPr>
        <w:t xml:space="preserve">desarrollo de un estudio sobre estrategias y propuestas de política pública para las ciudades beneficiarias que promuevan modelos circulares a nivel regional. </w:t>
      </w:r>
      <w:r w:rsidR="003C28A6" w:rsidRPr="007F4E9F">
        <w:rPr>
          <w:rFonts w:ascii="Times New Roman" w:hAnsi="Times New Roman" w:cs="Times New Roman"/>
        </w:rPr>
        <w:t>Los productos son los siguientes: Modelo de gobernanza para la plataforma regional (producto 1); El diagnóstico y propuesta de fortalecimiento normativo (producto 3); La validación participativa de los productos 1 y 2 y la consolidación del informe final (producto 4).</w:t>
      </w:r>
    </w:p>
    <w:p w14:paraId="0F609A3B" w14:textId="41458ED2" w:rsidR="00381629" w:rsidRPr="007F4E9F" w:rsidRDefault="00381629" w:rsidP="0032235A">
      <w:pPr>
        <w:jc w:val="both"/>
        <w:rPr>
          <w:rFonts w:ascii="Times New Roman" w:hAnsi="Times New Roman" w:cs="Times New Roman"/>
        </w:rPr>
      </w:pPr>
      <w:r w:rsidRPr="007F4E9F">
        <w:rPr>
          <w:rFonts w:ascii="Times New Roman" w:hAnsi="Times New Roman" w:cs="Times New Roman"/>
        </w:rPr>
        <w:t xml:space="preserve">Los productos listados se desarrollaron bajo el </w:t>
      </w:r>
      <w:r w:rsidRPr="007F4E9F">
        <w:rPr>
          <w:rFonts w:ascii="Times New Roman" w:hAnsi="Times New Roman" w:cs="Times New Roman"/>
          <w:color w:val="222222"/>
        </w:rPr>
        <w:t>Contrato</w:t>
      </w:r>
      <w:r w:rsidRPr="007F4E9F">
        <w:rPr>
          <w:rFonts w:ascii="Times New Roman" w:hAnsi="Times New Roman" w:cs="Times New Roman"/>
          <w:b/>
          <w:bCs/>
          <w:color w:val="222222"/>
        </w:rPr>
        <w:t xml:space="preserve"> SDA-BID-04-20251449 </w:t>
      </w:r>
      <w:r w:rsidRPr="007F4E9F">
        <w:rPr>
          <w:rFonts w:ascii="Times New Roman" w:hAnsi="Times New Roman" w:cs="Times New Roman"/>
          <w:color w:val="222222"/>
        </w:rPr>
        <w:t>suscrito con el Consorcio ICLEI-ACODAL seccional Noro</w:t>
      </w:r>
      <w:r w:rsidR="008E2447" w:rsidRPr="007F4E9F">
        <w:rPr>
          <w:rFonts w:ascii="Times New Roman" w:hAnsi="Times New Roman" w:cs="Times New Roman"/>
          <w:color w:val="222222"/>
        </w:rPr>
        <w:t>c</w:t>
      </w:r>
      <w:r w:rsidRPr="007F4E9F">
        <w:rPr>
          <w:rFonts w:ascii="Times New Roman" w:hAnsi="Times New Roman" w:cs="Times New Roman"/>
          <w:color w:val="222222"/>
        </w:rPr>
        <w:t>cidente</w:t>
      </w:r>
      <w:r w:rsidR="008E2447" w:rsidRPr="007F4E9F">
        <w:rPr>
          <w:rFonts w:ascii="Times New Roman" w:hAnsi="Times New Roman" w:cs="Times New Roman"/>
          <w:color w:val="222222"/>
        </w:rPr>
        <w:t>.</w:t>
      </w:r>
    </w:p>
    <w:p w14:paraId="5871A902" w14:textId="77777777" w:rsidR="00D13C3C" w:rsidRPr="007F4E9F" w:rsidRDefault="00D13C3C" w:rsidP="0032235A">
      <w:pPr>
        <w:pStyle w:val="Heading3"/>
        <w:jc w:val="both"/>
        <w:rPr>
          <w:rFonts w:ascii="Times New Roman" w:hAnsi="Times New Roman"/>
        </w:rPr>
      </w:pPr>
      <w:bookmarkStart w:id="101" w:name="_Toc226750215"/>
      <w:r w:rsidRPr="007F4E9F">
        <w:rPr>
          <w:rFonts w:ascii="Times New Roman" w:hAnsi="Times New Roman"/>
        </w:rPr>
        <w:t>Pertinencia</w:t>
      </w:r>
      <w:bookmarkEnd w:id="101"/>
      <w:r w:rsidRPr="007F4E9F">
        <w:rPr>
          <w:rFonts w:ascii="Times New Roman" w:hAnsi="Times New Roman"/>
        </w:rPr>
        <w:t xml:space="preserve"> </w:t>
      </w:r>
    </w:p>
    <w:p w14:paraId="1B6DA3C5" w14:textId="3F8DAEB6" w:rsidR="00D13C3C" w:rsidRPr="007F4E9F" w:rsidRDefault="00D13C3C" w:rsidP="0032235A">
      <w:pPr>
        <w:jc w:val="both"/>
        <w:rPr>
          <w:rFonts w:ascii="Times New Roman" w:hAnsi="Times New Roman" w:cs="Times New Roman"/>
          <w:i/>
          <w:iCs/>
        </w:rPr>
      </w:pPr>
      <w:r w:rsidRPr="007F4E9F">
        <w:rPr>
          <w:rFonts w:ascii="Times New Roman" w:hAnsi="Times New Roman" w:cs="Times New Roman"/>
        </w:rPr>
        <w:t xml:space="preserve">Al evaluar la pertinencia se pretende indagar si el proyecto abordó necesidades reales de la región latinoamericana y de los países priorizados en la intervención, representados en las 4 ciudades. </w:t>
      </w:r>
    </w:p>
    <w:p w14:paraId="58308193" w14:textId="77777777" w:rsidR="00D13C3C" w:rsidRPr="007F4E9F" w:rsidRDefault="00D13C3C" w:rsidP="0032235A">
      <w:pPr>
        <w:jc w:val="both"/>
        <w:rPr>
          <w:rFonts w:ascii="Times New Roman" w:hAnsi="Times New Roman" w:cs="Times New Roman"/>
        </w:rPr>
      </w:pPr>
      <w:r w:rsidRPr="007F4E9F">
        <w:rPr>
          <w:rFonts w:ascii="Times New Roman" w:hAnsi="Times New Roman" w:cs="Times New Roman"/>
        </w:rPr>
        <w:t xml:space="preserve">Para evaluar la pertinencia, de acuerdo con la tabla 1, se verificaron dos alcances para cada componente: </w:t>
      </w:r>
    </w:p>
    <w:p w14:paraId="57E7C968" w14:textId="77777777" w:rsidR="00D13C3C" w:rsidRPr="007F4E9F" w:rsidRDefault="00D13C3C" w:rsidP="005C3660">
      <w:pPr>
        <w:pStyle w:val="ListParagraph"/>
        <w:numPr>
          <w:ilvl w:val="0"/>
          <w:numId w:val="8"/>
        </w:numPr>
        <w:jc w:val="both"/>
        <w:rPr>
          <w:rFonts w:ascii="Times New Roman" w:hAnsi="Times New Roman" w:cs="Times New Roman"/>
        </w:rPr>
      </w:pPr>
      <w:r w:rsidRPr="007F4E9F">
        <w:rPr>
          <w:rFonts w:ascii="Times New Roman" w:hAnsi="Times New Roman" w:cs="Times New Roman"/>
        </w:rPr>
        <w:t xml:space="preserve">La adecuación de la intervención a los contextos urbanos y sectoriales de cada ciudad y </w:t>
      </w:r>
    </w:p>
    <w:p w14:paraId="72266EEC" w14:textId="77777777" w:rsidR="00D13C3C" w:rsidRPr="007F4E9F" w:rsidRDefault="00D13C3C" w:rsidP="005C3660">
      <w:pPr>
        <w:pStyle w:val="ListParagraph"/>
        <w:numPr>
          <w:ilvl w:val="0"/>
          <w:numId w:val="8"/>
        </w:numPr>
        <w:jc w:val="both"/>
        <w:rPr>
          <w:rFonts w:ascii="Times New Roman" w:hAnsi="Times New Roman" w:cs="Times New Roman"/>
        </w:rPr>
      </w:pPr>
      <w:r w:rsidRPr="007F4E9F">
        <w:rPr>
          <w:rFonts w:ascii="Times New Roman" w:hAnsi="Times New Roman" w:cs="Times New Roman"/>
        </w:rPr>
        <w:t>La relevancia frente a las prioridades locales y regionales de sostenibilidad.</w:t>
      </w:r>
    </w:p>
    <w:p w14:paraId="477A5343" w14:textId="77777777" w:rsidR="00D13C3C" w:rsidRPr="007F4E9F" w:rsidRDefault="00D13C3C" w:rsidP="0032235A">
      <w:pPr>
        <w:pStyle w:val="Heading4"/>
        <w:jc w:val="both"/>
        <w:rPr>
          <w:rFonts w:ascii="Times New Roman" w:hAnsi="Times New Roman"/>
        </w:rPr>
      </w:pPr>
      <w:bookmarkStart w:id="102" w:name="_Toc226750216"/>
      <w:r w:rsidRPr="007F4E9F">
        <w:rPr>
          <w:rFonts w:ascii="Times New Roman" w:hAnsi="Times New Roman"/>
        </w:rPr>
        <w:t>Adecuación de la intervención a los contextos urbanos y sectoriales de cada ciudad</w:t>
      </w:r>
      <w:bookmarkEnd w:id="102"/>
      <w:r w:rsidRPr="007F4E9F">
        <w:rPr>
          <w:rFonts w:ascii="Times New Roman" w:hAnsi="Times New Roman"/>
        </w:rPr>
        <w:t xml:space="preserve"> </w:t>
      </w:r>
    </w:p>
    <w:p w14:paraId="709F439A" w14:textId="388C58B5" w:rsidR="00C90E7B" w:rsidRPr="007F4E9F" w:rsidRDefault="00CC4181" w:rsidP="0032235A">
      <w:pPr>
        <w:jc w:val="both"/>
        <w:rPr>
          <w:rFonts w:ascii="Times New Roman" w:eastAsia="Times New Roman" w:hAnsi="Times New Roman" w:cs="Times New Roman"/>
        </w:rPr>
      </w:pPr>
      <w:r w:rsidRPr="007F4E9F">
        <w:rPr>
          <w:rFonts w:ascii="Times New Roman" w:eastAsia="Times New Roman" w:hAnsi="Times New Roman" w:cs="Times New Roman"/>
        </w:rPr>
        <w:t>En este componente es mucho más evidente esta adecuación, dado que en el producto 2</w:t>
      </w:r>
      <w:r w:rsidR="00141134" w:rsidRPr="007F4E9F">
        <w:rPr>
          <w:rFonts w:ascii="Times New Roman" w:eastAsia="Times New Roman" w:hAnsi="Times New Roman" w:cs="Times New Roman"/>
        </w:rPr>
        <w:t xml:space="preserve"> hace un análisis a profundidad del marco regulatorio y de política pública de cada una de las ciudades. El análisis se aborda</w:t>
      </w:r>
      <w:r w:rsidR="000033B5" w:rsidRPr="007F4E9F">
        <w:rPr>
          <w:rFonts w:ascii="Times New Roman" w:eastAsia="Times New Roman" w:hAnsi="Times New Roman" w:cs="Times New Roman"/>
        </w:rPr>
        <w:t xml:space="preserve"> con un enfoque de </w:t>
      </w:r>
      <w:r w:rsidR="00141134" w:rsidRPr="007F4E9F">
        <w:rPr>
          <w:rFonts w:ascii="Times New Roman" w:eastAsia="Times New Roman" w:hAnsi="Times New Roman" w:cs="Times New Roman"/>
        </w:rPr>
        <w:t>ciclo de vida desde un alcance de licenciamiento y autorizaciones, operación y cumplimiento</w:t>
      </w:r>
      <w:r w:rsidR="000033B5" w:rsidRPr="007F4E9F">
        <w:rPr>
          <w:rFonts w:ascii="Times New Roman" w:eastAsia="Times New Roman" w:hAnsi="Times New Roman" w:cs="Times New Roman"/>
        </w:rPr>
        <w:t>,</w:t>
      </w:r>
      <w:r w:rsidR="00141134" w:rsidRPr="007F4E9F">
        <w:rPr>
          <w:rFonts w:ascii="Times New Roman" w:eastAsia="Times New Roman" w:hAnsi="Times New Roman" w:cs="Times New Roman"/>
        </w:rPr>
        <w:t xml:space="preserve"> la gestión de residuos y el fin de vida</w:t>
      </w:r>
      <w:r w:rsidR="009E6BE6" w:rsidRPr="007F4E9F">
        <w:rPr>
          <w:rFonts w:ascii="Times New Roman" w:eastAsia="Times New Roman" w:hAnsi="Times New Roman" w:cs="Times New Roman"/>
        </w:rPr>
        <w:t xml:space="preserve"> (</w:t>
      </w:r>
      <w:r w:rsidR="009E6BE6" w:rsidRPr="007F4E9F">
        <w:t>ICLEI, &amp; ACODAL, 2025a)</w:t>
      </w:r>
      <w:r w:rsidR="000033B5" w:rsidRPr="007F4E9F">
        <w:rPr>
          <w:rFonts w:ascii="Times New Roman" w:eastAsia="Times New Roman" w:hAnsi="Times New Roman" w:cs="Times New Roman"/>
        </w:rPr>
        <w:t>.</w:t>
      </w:r>
      <w:r w:rsidR="00124A1A" w:rsidRPr="007F4E9F">
        <w:rPr>
          <w:rFonts w:ascii="Times New Roman" w:eastAsia="Times New Roman" w:hAnsi="Times New Roman" w:cs="Times New Roman"/>
        </w:rPr>
        <w:t xml:space="preserve"> La tabla 1</w:t>
      </w:r>
      <w:r w:rsidR="00F07736" w:rsidRPr="007F4E9F">
        <w:rPr>
          <w:rFonts w:ascii="Times New Roman" w:eastAsia="Times New Roman" w:hAnsi="Times New Roman" w:cs="Times New Roman"/>
        </w:rPr>
        <w:t>1</w:t>
      </w:r>
      <w:r w:rsidR="00124A1A" w:rsidRPr="007F4E9F">
        <w:rPr>
          <w:rFonts w:ascii="Times New Roman" w:eastAsia="Times New Roman" w:hAnsi="Times New Roman" w:cs="Times New Roman"/>
        </w:rPr>
        <w:t xml:space="preserve"> muestra las prioridades de cada ciudad en el ciclo de pida para trascender la disposición de residuos.</w:t>
      </w:r>
    </w:p>
    <w:p w14:paraId="3A324171" w14:textId="6823051D" w:rsidR="00603D77" w:rsidRPr="007F4E9F" w:rsidRDefault="00603D77" w:rsidP="00603D77">
      <w:pPr>
        <w:pStyle w:val="Caption"/>
        <w:keepNext/>
        <w:rPr>
          <w:rFonts w:ascii="Times New Roman" w:hAnsi="Times New Roman"/>
          <w:sz w:val="22"/>
        </w:rPr>
      </w:pPr>
      <w:bookmarkStart w:id="103" w:name="_Toc225848237"/>
      <w:r w:rsidRPr="007F4E9F">
        <w:rPr>
          <w:rFonts w:ascii="Times New Roman" w:hAnsi="Times New Roman"/>
          <w:sz w:val="22"/>
        </w:rPr>
        <w:t xml:space="preserve">Tabla </w:t>
      </w:r>
      <w:r w:rsidRPr="007F4E9F">
        <w:rPr>
          <w:rFonts w:ascii="Times New Roman" w:hAnsi="Times New Roman"/>
          <w:sz w:val="22"/>
        </w:rPr>
        <w:fldChar w:fldCharType="begin"/>
      </w:r>
      <w:r w:rsidRPr="007F4E9F">
        <w:rPr>
          <w:rFonts w:ascii="Times New Roman" w:hAnsi="Times New Roman"/>
          <w:sz w:val="22"/>
        </w:rPr>
        <w:instrText xml:space="preserve"> SEQ Tabla \* ARABIC </w:instrText>
      </w:r>
      <w:r w:rsidRPr="007F4E9F">
        <w:rPr>
          <w:rFonts w:ascii="Times New Roman" w:hAnsi="Times New Roman"/>
          <w:sz w:val="22"/>
        </w:rPr>
        <w:fldChar w:fldCharType="separate"/>
      </w:r>
      <w:r w:rsidR="00CB1A80" w:rsidRPr="007F4E9F">
        <w:rPr>
          <w:rFonts w:ascii="Times New Roman" w:hAnsi="Times New Roman"/>
          <w:noProof/>
          <w:sz w:val="22"/>
        </w:rPr>
        <w:t>11</w:t>
      </w:r>
      <w:r w:rsidRPr="007F4E9F">
        <w:rPr>
          <w:rFonts w:ascii="Times New Roman" w:hAnsi="Times New Roman"/>
          <w:sz w:val="22"/>
        </w:rPr>
        <w:fldChar w:fldCharType="end"/>
      </w:r>
      <w:r w:rsidRPr="007F4E9F">
        <w:rPr>
          <w:rFonts w:ascii="Times New Roman" w:hAnsi="Times New Roman"/>
          <w:sz w:val="22"/>
        </w:rPr>
        <w:t xml:space="preserve"> </w:t>
      </w:r>
      <w:r w:rsidRPr="007F4E9F">
        <w:rPr>
          <w:rFonts w:ascii="Times New Roman" w:hAnsi="Times New Roman"/>
          <w:i/>
          <w:iCs/>
          <w:sz w:val="22"/>
        </w:rPr>
        <w:t>Prioridades de las ciudades con enfoque de ciclo de vida</w:t>
      </w:r>
      <w:bookmarkEnd w:id="1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726"/>
        <w:gridCol w:w="1727"/>
        <w:gridCol w:w="1728"/>
        <w:gridCol w:w="1725"/>
      </w:tblGrid>
      <w:tr w:rsidR="00C90E7B" w:rsidRPr="007F4E9F" w14:paraId="1BA7CF93" w14:textId="77777777" w:rsidTr="00124A1A">
        <w:tc>
          <w:tcPr>
            <w:tcW w:w="1724" w:type="dxa"/>
            <w:vAlign w:val="center"/>
          </w:tcPr>
          <w:p w14:paraId="1CC8AA04" w14:textId="77777777" w:rsidR="00C90E7B" w:rsidRPr="007F4E9F" w:rsidRDefault="00C90E7B" w:rsidP="0032235A">
            <w:pPr>
              <w:jc w:val="both"/>
              <w:rPr>
                <w:rFonts w:ascii="Times New Roman" w:hAnsi="Times New Roman" w:cs="Times New Roman"/>
                <w:b/>
                <w:bCs/>
              </w:rPr>
            </w:pPr>
            <w:r w:rsidRPr="007F4E9F">
              <w:rPr>
                <w:rFonts w:ascii="Times New Roman" w:hAnsi="Times New Roman" w:cs="Times New Roman"/>
                <w:b/>
                <w:bCs/>
              </w:rPr>
              <w:t>Fase del ciclo</w:t>
            </w:r>
          </w:p>
        </w:tc>
        <w:tc>
          <w:tcPr>
            <w:tcW w:w="1726" w:type="dxa"/>
            <w:vAlign w:val="center"/>
          </w:tcPr>
          <w:p w14:paraId="592F2375" w14:textId="77777777" w:rsidR="00C90E7B" w:rsidRPr="007F4E9F" w:rsidRDefault="00C90E7B" w:rsidP="0032235A">
            <w:pPr>
              <w:jc w:val="both"/>
              <w:rPr>
                <w:rFonts w:ascii="Times New Roman" w:hAnsi="Times New Roman" w:cs="Times New Roman"/>
                <w:b/>
                <w:bCs/>
              </w:rPr>
            </w:pPr>
            <w:r w:rsidRPr="007F4E9F">
              <w:rPr>
                <w:rFonts w:ascii="Times New Roman" w:hAnsi="Times New Roman" w:cs="Times New Roman"/>
                <w:b/>
                <w:bCs/>
              </w:rPr>
              <w:t>Bogotá</w:t>
            </w:r>
          </w:p>
        </w:tc>
        <w:tc>
          <w:tcPr>
            <w:tcW w:w="1727" w:type="dxa"/>
            <w:vAlign w:val="center"/>
          </w:tcPr>
          <w:p w14:paraId="00702EB4" w14:textId="77777777" w:rsidR="00C90E7B" w:rsidRPr="007F4E9F" w:rsidRDefault="00C90E7B" w:rsidP="0032235A">
            <w:pPr>
              <w:jc w:val="both"/>
              <w:rPr>
                <w:rFonts w:ascii="Times New Roman" w:hAnsi="Times New Roman" w:cs="Times New Roman"/>
                <w:b/>
                <w:bCs/>
              </w:rPr>
            </w:pPr>
            <w:r w:rsidRPr="007F4E9F">
              <w:rPr>
                <w:rFonts w:ascii="Times New Roman" w:hAnsi="Times New Roman" w:cs="Times New Roman"/>
                <w:b/>
                <w:bCs/>
              </w:rPr>
              <w:t>Lima</w:t>
            </w:r>
          </w:p>
        </w:tc>
        <w:tc>
          <w:tcPr>
            <w:tcW w:w="1728" w:type="dxa"/>
            <w:vAlign w:val="center"/>
          </w:tcPr>
          <w:p w14:paraId="6ABC51C8" w14:textId="77777777" w:rsidR="00C90E7B" w:rsidRPr="007F4E9F" w:rsidRDefault="00C90E7B" w:rsidP="0032235A">
            <w:pPr>
              <w:jc w:val="both"/>
              <w:rPr>
                <w:rFonts w:ascii="Times New Roman" w:hAnsi="Times New Roman" w:cs="Times New Roman"/>
                <w:b/>
                <w:bCs/>
              </w:rPr>
            </w:pPr>
            <w:r w:rsidRPr="007F4E9F">
              <w:rPr>
                <w:rFonts w:ascii="Times New Roman" w:hAnsi="Times New Roman" w:cs="Times New Roman"/>
                <w:b/>
                <w:bCs/>
              </w:rPr>
              <w:t>Quito</w:t>
            </w:r>
          </w:p>
        </w:tc>
        <w:tc>
          <w:tcPr>
            <w:tcW w:w="1725" w:type="dxa"/>
            <w:vAlign w:val="center"/>
          </w:tcPr>
          <w:p w14:paraId="559A4DCF" w14:textId="77777777" w:rsidR="00C90E7B" w:rsidRPr="007F4E9F" w:rsidRDefault="00C90E7B" w:rsidP="0032235A">
            <w:pPr>
              <w:jc w:val="both"/>
              <w:rPr>
                <w:rFonts w:ascii="Times New Roman" w:hAnsi="Times New Roman" w:cs="Times New Roman"/>
                <w:b/>
                <w:bCs/>
              </w:rPr>
            </w:pPr>
            <w:r w:rsidRPr="007F4E9F">
              <w:rPr>
                <w:rFonts w:ascii="Times New Roman" w:hAnsi="Times New Roman" w:cs="Times New Roman"/>
                <w:b/>
                <w:bCs/>
              </w:rPr>
              <w:t>Santiago de Chile</w:t>
            </w:r>
          </w:p>
        </w:tc>
      </w:tr>
      <w:tr w:rsidR="00C90E7B" w:rsidRPr="007F4E9F" w14:paraId="1FC86FC5" w14:textId="77777777" w:rsidTr="00124A1A">
        <w:tc>
          <w:tcPr>
            <w:tcW w:w="1724" w:type="dxa"/>
            <w:vAlign w:val="center"/>
          </w:tcPr>
          <w:p w14:paraId="0FD2F7EC" w14:textId="77777777" w:rsidR="00C90E7B" w:rsidRPr="007F4E9F" w:rsidRDefault="00C90E7B" w:rsidP="0032235A">
            <w:pPr>
              <w:jc w:val="both"/>
              <w:rPr>
                <w:rFonts w:ascii="Times New Roman" w:hAnsi="Times New Roman" w:cs="Times New Roman"/>
              </w:rPr>
            </w:pPr>
            <w:r w:rsidRPr="007F4E9F">
              <w:rPr>
                <w:rFonts w:ascii="Times New Roman" w:hAnsi="Times New Roman" w:cs="Times New Roman"/>
              </w:rPr>
              <w:t>Diseño y producción</w:t>
            </w:r>
          </w:p>
        </w:tc>
        <w:tc>
          <w:tcPr>
            <w:tcW w:w="1726" w:type="dxa"/>
            <w:vAlign w:val="center"/>
          </w:tcPr>
          <w:p w14:paraId="2B7DD115" w14:textId="77777777" w:rsidR="00C90E7B" w:rsidRPr="007F4E9F" w:rsidRDefault="00C90E7B" w:rsidP="0032235A">
            <w:pPr>
              <w:jc w:val="both"/>
              <w:rPr>
                <w:rFonts w:ascii="Times New Roman" w:hAnsi="Times New Roman" w:cs="Times New Roman"/>
              </w:rPr>
            </w:pPr>
            <w:r w:rsidRPr="007F4E9F">
              <w:rPr>
                <w:rFonts w:ascii="Times New Roman" w:hAnsi="Times New Roman" w:cs="Times New Roman"/>
              </w:rPr>
              <w:t>Regeneración de ecosistemas y compostaje urbano</w:t>
            </w:r>
          </w:p>
        </w:tc>
        <w:tc>
          <w:tcPr>
            <w:tcW w:w="1727" w:type="dxa"/>
            <w:vAlign w:val="center"/>
          </w:tcPr>
          <w:p w14:paraId="14CADCE3" w14:textId="77777777" w:rsidR="00C90E7B" w:rsidRPr="007F4E9F" w:rsidRDefault="00C90E7B" w:rsidP="0032235A">
            <w:pPr>
              <w:jc w:val="both"/>
              <w:rPr>
                <w:rFonts w:ascii="Times New Roman" w:hAnsi="Times New Roman" w:cs="Times New Roman"/>
              </w:rPr>
            </w:pPr>
            <w:r w:rsidRPr="007F4E9F">
              <w:rPr>
                <w:rFonts w:ascii="Times New Roman" w:hAnsi="Times New Roman" w:cs="Times New Roman"/>
              </w:rPr>
              <w:t>Infraestructura verde y reutilización de aguas residuales</w:t>
            </w:r>
          </w:p>
        </w:tc>
        <w:tc>
          <w:tcPr>
            <w:tcW w:w="1728" w:type="dxa"/>
            <w:vAlign w:val="center"/>
          </w:tcPr>
          <w:p w14:paraId="4588A42A" w14:textId="77777777" w:rsidR="00C90E7B" w:rsidRPr="007F4E9F" w:rsidRDefault="00C90E7B" w:rsidP="0032235A">
            <w:pPr>
              <w:jc w:val="both"/>
              <w:rPr>
                <w:rFonts w:ascii="Times New Roman" w:hAnsi="Times New Roman" w:cs="Times New Roman"/>
              </w:rPr>
            </w:pPr>
            <w:r w:rsidRPr="007F4E9F">
              <w:rPr>
                <w:rFonts w:ascii="Times New Roman" w:hAnsi="Times New Roman" w:cs="Times New Roman"/>
              </w:rPr>
              <w:t>Restauración ecológica y uso circular de biomasa</w:t>
            </w:r>
          </w:p>
        </w:tc>
        <w:tc>
          <w:tcPr>
            <w:tcW w:w="1725" w:type="dxa"/>
            <w:vAlign w:val="center"/>
          </w:tcPr>
          <w:p w14:paraId="260EC5D6" w14:textId="77777777" w:rsidR="00C90E7B" w:rsidRPr="007F4E9F" w:rsidRDefault="00C90E7B" w:rsidP="0032235A">
            <w:pPr>
              <w:jc w:val="both"/>
              <w:rPr>
                <w:rFonts w:ascii="Times New Roman" w:hAnsi="Times New Roman" w:cs="Times New Roman"/>
              </w:rPr>
            </w:pPr>
            <w:r w:rsidRPr="007F4E9F">
              <w:rPr>
                <w:rFonts w:ascii="Times New Roman" w:hAnsi="Times New Roman" w:cs="Times New Roman"/>
              </w:rPr>
              <w:t>Bioeconomía y regeneración urbana</w:t>
            </w:r>
          </w:p>
        </w:tc>
      </w:tr>
      <w:tr w:rsidR="00C90E7B" w:rsidRPr="007F4E9F" w14:paraId="6BE62488" w14:textId="77777777" w:rsidTr="00124A1A">
        <w:tc>
          <w:tcPr>
            <w:tcW w:w="1724" w:type="dxa"/>
            <w:vAlign w:val="center"/>
          </w:tcPr>
          <w:p w14:paraId="6774A7EA" w14:textId="77777777" w:rsidR="00C90E7B" w:rsidRPr="007F4E9F" w:rsidRDefault="00C90E7B" w:rsidP="0032235A">
            <w:pPr>
              <w:jc w:val="both"/>
              <w:rPr>
                <w:rFonts w:ascii="Times New Roman" w:hAnsi="Times New Roman" w:cs="Times New Roman"/>
              </w:rPr>
            </w:pPr>
            <w:r w:rsidRPr="007F4E9F">
              <w:rPr>
                <w:rFonts w:ascii="Times New Roman" w:hAnsi="Times New Roman" w:cs="Times New Roman"/>
              </w:rPr>
              <w:t>Consumo y uso</w:t>
            </w:r>
          </w:p>
        </w:tc>
        <w:tc>
          <w:tcPr>
            <w:tcW w:w="1726" w:type="dxa"/>
            <w:vAlign w:val="center"/>
          </w:tcPr>
          <w:p w14:paraId="015AA390" w14:textId="77777777" w:rsidR="00C90E7B" w:rsidRPr="007F4E9F" w:rsidRDefault="00C90E7B" w:rsidP="0032235A">
            <w:pPr>
              <w:jc w:val="both"/>
              <w:rPr>
                <w:rFonts w:ascii="Times New Roman" w:hAnsi="Times New Roman" w:cs="Times New Roman"/>
              </w:rPr>
            </w:pPr>
            <w:r w:rsidRPr="007F4E9F">
              <w:rPr>
                <w:rFonts w:ascii="Times New Roman" w:hAnsi="Times New Roman" w:cs="Times New Roman"/>
              </w:rPr>
              <w:t>Metas de envases reutilizables y retornabilidad</w:t>
            </w:r>
          </w:p>
        </w:tc>
        <w:tc>
          <w:tcPr>
            <w:tcW w:w="1727" w:type="dxa"/>
            <w:vAlign w:val="center"/>
          </w:tcPr>
          <w:p w14:paraId="0D417FD7" w14:textId="77777777" w:rsidR="00C90E7B" w:rsidRPr="007F4E9F" w:rsidRDefault="00C90E7B" w:rsidP="0032235A">
            <w:pPr>
              <w:jc w:val="both"/>
              <w:rPr>
                <w:rFonts w:ascii="Times New Roman" w:hAnsi="Times New Roman" w:cs="Times New Roman"/>
              </w:rPr>
            </w:pPr>
            <w:r w:rsidRPr="007F4E9F">
              <w:rPr>
                <w:rFonts w:ascii="Times New Roman" w:hAnsi="Times New Roman" w:cs="Times New Roman"/>
              </w:rPr>
              <w:t>Reducción de residuos en fuente y empaques sostenibles</w:t>
            </w:r>
          </w:p>
        </w:tc>
        <w:tc>
          <w:tcPr>
            <w:tcW w:w="1728" w:type="dxa"/>
            <w:vAlign w:val="center"/>
          </w:tcPr>
          <w:p w14:paraId="24D21B3F" w14:textId="77777777" w:rsidR="00C90E7B" w:rsidRPr="007F4E9F" w:rsidRDefault="00C90E7B" w:rsidP="0032235A">
            <w:pPr>
              <w:jc w:val="both"/>
              <w:rPr>
                <w:rFonts w:ascii="Times New Roman" w:hAnsi="Times New Roman" w:cs="Times New Roman"/>
              </w:rPr>
            </w:pPr>
            <w:r w:rsidRPr="007F4E9F">
              <w:rPr>
                <w:rFonts w:ascii="Times New Roman" w:hAnsi="Times New Roman" w:cs="Times New Roman"/>
              </w:rPr>
              <w:t>Ecodiseño y simbiosis industrial</w:t>
            </w:r>
          </w:p>
        </w:tc>
        <w:tc>
          <w:tcPr>
            <w:tcW w:w="1725" w:type="dxa"/>
            <w:vAlign w:val="center"/>
          </w:tcPr>
          <w:p w14:paraId="2B6C1173" w14:textId="77777777" w:rsidR="00C90E7B" w:rsidRPr="007F4E9F" w:rsidRDefault="00C90E7B" w:rsidP="0032235A">
            <w:pPr>
              <w:jc w:val="both"/>
              <w:rPr>
                <w:rFonts w:ascii="Times New Roman" w:hAnsi="Times New Roman" w:cs="Times New Roman"/>
              </w:rPr>
            </w:pPr>
            <w:r w:rsidRPr="007F4E9F">
              <w:rPr>
                <w:rFonts w:ascii="Times New Roman" w:hAnsi="Times New Roman" w:cs="Times New Roman"/>
              </w:rPr>
              <w:t>Regulación de plásticos de un solo uso y metas REP</w:t>
            </w:r>
          </w:p>
        </w:tc>
      </w:tr>
      <w:tr w:rsidR="00C90E7B" w:rsidRPr="007F4E9F" w14:paraId="53B81EEB" w14:textId="77777777" w:rsidTr="00124A1A">
        <w:tc>
          <w:tcPr>
            <w:tcW w:w="1724" w:type="dxa"/>
            <w:vAlign w:val="center"/>
          </w:tcPr>
          <w:p w14:paraId="77145CFE" w14:textId="77777777" w:rsidR="00C90E7B" w:rsidRPr="007F4E9F" w:rsidRDefault="00C90E7B" w:rsidP="0032235A">
            <w:pPr>
              <w:jc w:val="both"/>
              <w:rPr>
                <w:rFonts w:ascii="Times New Roman" w:hAnsi="Times New Roman" w:cs="Times New Roman"/>
              </w:rPr>
            </w:pPr>
            <w:r w:rsidRPr="007F4E9F">
              <w:rPr>
                <w:rFonts w:ascii="Times New Roman" w:hAnsi="Times New Roman" w:cs="Times New Roman"/>
              </w:rPr>
              <w:t>Fin de vida</w:t>
            </w:r>
          </w:p>
        </w:tc>
        <w:tc>
          <w:tcPr>
            <w:tcW w:w="1726" w:type="dxa"/>
            <w:vAlign w:val="center"/>
          </w:tcPr>
          <w:p w14:paraId="63406DF0" w14:textId="77777777" w:rsidR="00C90E7B" w:rsidRPr="007F4E9F" w:rsidRDefault="00C90E7B" w:rsidP="0032235A">
            <w:pPr>
              <w:jc w:val="both"/>
              <w:rPr>
                <w:rFonts w:ascii="Times New Roman" w:hAnsi="Times New Roman" w:cs="Times New Roman"/>
              </w:rPr>
            </w:pPr>
            <w:r w:rsidRPr="007F4E9F">
              <w:rPr>
                <w:rFonts w:ascii="Times New Roman" w:hAnsi="Times New Roman" w:cs="Times New Roman"/>
              </w:rPr>
              <w:t>Reciclaje inclusivo y retornabilidad de envases</w:t>
            </w:r>
          </w:p>
        </w:tc>
        <w:tc>
          <w:tcPr>
            <w:tcW w:w="1727" w:type="dxa"/>
            <w:vAlign w:val="center"/>
          </w:tcPr>
          <w:p w14:paraId="39C67F28" w14:textId="77777777" w:rsidR="00C90E7B" w:rsidRPr="007F4E9F" w:rsidRDefault="00C90E7B" w:rsidP="0032235A">
            <w:pPr>
              <w:jc w:val="both"/>
              <w:rPr>
                <w:rFonts w:ascii="Times New Roman" w:hAnsi="Times New Roman" w:cs="Times New Roman"/>
              </w:rPr>
            </w:pPr>
            <w:r w:rsidRPr="007F4E9F">
              <w:rPr>
                <w:rFonts w:ascii="Times New Roman" w:hAnsi="Times New Roman" w:cs="Times New Roman"/>
              </w:rPr>
              <w:t>Valorización de residuos y formalización de recicladores</w:t>
            </w:r>
          </w:p>
        </w:tc>
        <w:tc>
          <w:tcPr>
            <w:tcW w:w="1728" w:type="dxa"/>
            <w:vAlign w:val="center"/>
          </w:tcPr>
          <w:p w14:paraId="0F08FBC0" w14:textId="77777777" w:rsidR="00C90E7B" w:rsidRPr="007F4E9F" w:rsidRDefault="00C90E7B" w:rsidP="0032235A">
            <w:pPr>
              <w:jc w:val="both"/>
              <w:rPr>
                <w:rFonts w:ascii="Times New Roman" w:hAnsi="Times New Roman" w:cs="Times New Roman"/>
              </w:rPr>
            </w:pPr>
            <w:r w:rsidRPr="007F4E9F">
              <w:rPr>
                <w:rFonts w:ascii="Times New Roman" w:hAnsi="Times New Roman" w:cs="Times New Roman"/>
              </w:rPr>
              <w:t>Parques eco</w:t>
            </w:r>
            <w:r w:rsidRPr="007F4E9F">
              <w:rPr>
                <w:rFonts w:ascii="Cambria Math" w:hAnsi="Cambria Math" w:cs="Cambria Math"/>
              </w:rPr>
              <w:t>‑</w:t>
            </w:r>
            <w:r w:rsidRPr="007F4E9F">
              <w:rPr>
                <w:rFonts w:ascii="Times New Roman" w:hAnsi="Times New Roman" w:cs="Times New Roman"/>
              </w:rPr>
              <w:t>industriales y simbiosis productiva</w:t>
            </w:r>
          </w:p>
        </w:tc>
        <w:tc>
          <w:tcPr>
            <w:tcW w:w="1725" w:type="dxa"/>
            <w:vAlign w:val="center"/>
          </w:tcPr>
          <w:p w14:paraId="66AE9C89" w14:textId="77777777" w:rsidR="00C90E7B" w:rsidRPr="007F4E9F" w:rsidRDefault="00C90E7B" w:rsidP="0032235A">
            <w:pPr>
              <w:jc w:val="both"/>
              <w:rPr>
                <w:rFonts w:ascii="Times New Roman" w:hAnsi="Times New Roman" w:cs="Times New Roman"/>
              </w:rPr>
            </w:pPr>
            <w:r w:rsidRPr="007F4E9F">
              <w:rPr>
                <w:rFonts w:ascii="Times New Roman" w:hAnsi="Times New Roman" w:cs="Times New Roman"/>
              </w:rPr>
              <w:t>Sistemas de depósito, devolución y retorno (SDDR)</w:t>
            </w:r>
          </w:p>
        </w:tc>
      </w:tr>
    </w:tbl>
    <w:p w14:paraId="7301E195" w14:textId="77777777" w:rsidR="007554D3" w:rsidRPr="007F4E9F" w:rsidRDefault="007554D3" w:rsidP="00603D77">
      <w:pPr>
        <w:pStyle w:val="Bibliography"/>
        <w:ind w:left="720" w:hanging="720"/>
        <w:rPr>
          <w:rFonts w:ascii="Times New Roman" w:hAnsi="Times New Roman"/>
          <w:noProof/>
          <w:lang w:val="es-ES"/>
        </w:rPr>
      </w:pPr>
      <w:r w:rsidRPr="007F4E9F">
        <w:rPr>
          <w:rFonts w:ascii="Times New Roman" w:hAnsi="Times New Roman"/>
        </w:rPr>
        <w:t xml:space="preserve">Fuente: Elaboración propia basada en </w:t>
      </w:r>
      <w:r w:rsidRPr="007F4E9F">
        <w:rPr>
          <w:rFonts w:ascii="Times New Roman" w:hAnsi="Times New Roman"/>
          <w:noProof/>
          <w:lang w:val="es-ES"/>
        </w:rPr>
        <w:t xml:space="preserve">ICLEI, &amp; ACODAL. (2025). </w:t>
      </w:r>
      <w:r w:rsidRPr="007F4E9F">
        <w:rPr>
          <w:rFonts w:ascii="Times New Roman" w:hAnsi="Times New Roman"/>
          <w:i/>
          <w:iCs/>
          <w:noProof/>
          <w:lang w:val="es-ES"/>
        </w:rPr>
        <w:t>diagnóstico y propuesta de fortalecimiento normativo.</w:t>
      </w:r>
      <w:r w:rsidRPr="007F4E9F">
        <w:rPr>
          <w:rFonts w:ascii="Times New Roman" w:hAnsi="Times New Roman"/>
          <w:noProof/>
          <w:lang w:val="es-ES"/>
        </w:rPr>
        <w:t xml:space="preserve"> Bogotá D.C.</w:t>
      </w:r>
    </w:p>
    <w:p w14:paraId="751B62DD" w14:textId="77777777" w:rsidR="007554D3" w:rsidRPr="007F4E9F" w:rsidRDefault="007554D3" w:rsidP="0032235A">
      <w:pPr>
        <w:pStyle w:val="NormalWeb"/>
        <w:jc w:val="both"/>
        <w:rPr>
          <w:rStyle w:val="bzpyqfadein"/>
          <w:sz w:val="22"/>
          <w:szCs w:val="22"/>
        </w:rPr>
      </w:pPr>
    </w:p>
    <w:p w14:paraId="4590DEEF" w14:textId="718DF831" w:rsidR="00CA0820" w:rsidRPr="007F4E9F" w:rsidRDefault="00CA0820" w:rsidP="0032235A">
      <w:pPr>
        <w:pStyle w:val="NormalWeb"/>
        <w:jc w:val="both"/>
        <w:rPr>
          <w:sz w:val="22"/>
          <w:szCs w:val="22"/>
        </w:rPr>
      </w:pPr>
      <w:r w:rsidRPr="007F4E9F">
        <w:rPr>
          <w:rStyle w:val="bzpyqfadein"/>
          <w:sz w:val="22"/>
          <w:szCs w:val="22"/>
        </w:rPr>
        <w:t xml:space="preserve">El análisis de las dimensiones normativas evidencia que las cuatro ciudades han incorporado la economía circular en distintos instrumentos de política pública a lo largo del ciclo de vida de los materiales. En la fase de </w:t>
      </w:r>
      <w:r w:rsidRPr="007F4E9F">
        <w:rPr>
          <w:rStyle w:val="bzpyqfadein"/>
          <w:b/>
          <w:bCs/>
          <w:sz w:val="22"/>
          <w:szCs w:val="22"/>
        </w:rPr>
        <w:t>diseño y producción</w:t>
      </w:r>
      <w:r w:rsidRPr="007F4E9F">
        <w:rPr>
          <w:rStyle w:val="bzpyqfadein"/>
          <w:sz w:val="22"/>
          <w:szCs w:val="22"/>
        </w:rPr>
        <w:t xml:space="preserve"> predominan enfoques vinculados a la regeneración ecológica, la bioeconomía y la eficiencia de recursos. En </w:t>
      </w:r>
      <w:r w:rsidRPr="007F4E9F">
        <w:rPr>
          <w:rStyle w:val="bzpyqfadein"/>
          <w:b/>
          <w:bCs/>
          <w:sz w:val="22"/>
          <w:szCs w:val="22"/>
        </w:rPr>
        <w:t>consumo y uso</w:t>
      </w:r>
      <w:r w:rsidRPr="007F4E9F">
        <w:rPr>
          <w:rStyle w:val="bzpyqfadein"/>
          <w:sz w:val="22"/>
          <w:szCs w:val="22"/>
        </w:rPr>
        <w:t xml:space="preserve"> se observan regulaciones orientadas a la prevención de residuos, el ecodiseño y la responsabilidad del productor. En la fase de </w:t>
      </w:r>
      <w:r w:rsidRPr="007F4E9F">
        <w:rPr>
          <w:rStyle w:val="bzpyqfadein"/>
          <w:b/>
          <w:bCs/>
          <w:sz w:val="22"/>
          <w:szCs w:val="22"/>
        </w:rPr>
        <w:t>fin de vida</w:t>
      </w:r>
      <w:r w:rsidRPr="007F4E9F">
        <w:rPr>
          <w:rStyle w:val="bzpyqfadein"/>
          <w:sz w:val="22"/>
          <w:szCs w:val="22"/>
        </w:rPr>
        <w:t>, las políticas se concentran en fortalecer sistemas de reciclaje, valorización de residuos y modelos de logística inversa. En conjunto, estas iniciativas reflejan un marco normativo que avanza hacia la integración de la economía circular en las políticas urbanas de sostenibilidad</w:t>
      </w:r>
      <w:r w:rsidR="003D4748" w:rsidRPr="007F4E9F">
        <w:rPr>
          <w:rStyle w:val="bzpyqfadein"/>
          <w:sz w:val="22"/>
          <w:szCs w:val="22"/>
        </w:rPr>
        <w:t xml:space="preserve"> </w:t>
      </w:r>
      <w:r w:rsidR="009E6BE6" w:rsidRPr="007F4E9F">
        <w:rPr>
          <w:rStyle w:val="bzpyqfadein"/>
          <w:sz w:val="22"/>
          <w:szCs w:val="22"/>
        </w:rPr>
        <w:t>(</w:t>
      </w:r>
      <w:r w:rsidR="009E6BE6" w:rsidRPr="007F4E9F">
        <w:rPr>
          <w:noProof/>
          <w:sz w:val="22"/>
          <w:lang w:val="es-ES"/>
        </w:rPr>
        <w:t>ICLEI, &amp; ACODAL, 2025a).</w:t>
      </w:r>
    </w:p>
    <w:p w14:paraId="3F1C25EC" w14:textId="776682C1" w:rsidR="00124A1A" w:rsidRPr="007F4E9F" w:rsidRDefault="00CA0820" w:rsidP="0032235A">
      <w:pPr>
        <w:jc w:val="both"/>
        <w:rPr>
          <w:rFonts w:ascii="Times New Roman" w:eastAsia="Times New Roman" w:hAnsi="Times New Roman" w:cs="Times New Roman"/>
        </w:rPr>
      </w:pPr>
      <w:r w:rsidRPr="007F4E9F">
        <w:rPr>
          <w:rFonts w:ascii="Times New Roman" w:eastAsia="Times New Roman" w:hAnsi="Times New Roman" w:cs="Times New Roman"/>
        </w:rPr>
        <w:t>De manera adicional, en armonía con el componente 1, se realiza un análisis normativo que tiene en cu</w:t>
      </w:r>
      <w:r w:rsidR="00F6776E" w:rsidRPr="007F4E9F">
        <w:rPr>
          <w:rFonts w:ascii="Times New Roman" w:eastAsia="Times New Roman" w:hAnsi="Times New Roman" w:cs="Times New Roman"/>
        </w:rPr>
        <w:t>e</w:t>
      </w:r>
      <w:r w:rsidRPr="007F4E9F">
        <w:rPr>
          <w:rFonts w:ascii="Times New Roman" w:eastAsia="Times New Roman" w:hAnsi="Times New Roman" w:cs="Times New Roman"/>
        </w:rPr>
        <w:t>nta los 4 sectores priorizados de plásticos, textil, construcción y alimentos</w:t>
      </w:r>
      <w:r w:rsidR="00F6776E" w:rsidRPr="007F4E9F">
        <w:rPr>
          <w:rFonts w:ascii="Times New Roman" w:eastAsia="Times New Roman" w:hAnsi="Times New Roman" w:cs="Times New Roman"/>
        </w:rPr>
        <w:t xml:space="preserve"> con el objetivo de identificar la intensidad normativa en cada sector</w:t>
      </w:r>
      <w:r w:rsidR="003D4748" w:rsidRPr="007F4E9F">
        <w:rPr>
          <w:rFonts w:ascii="Times New Roman" w:eastAsia="Times New Roman" w:hAnsi="Times New Roman" w:cs="Times New Roman"/>
        </w:rPr>
        <w:t xml:space="preserve"> </w:t>
      </w:r>
      <w:r w:rsidR="00DA09C1" w:rsidRPr="007F4E9F">
        <w:rPr>
          <w:rStyle w:val="bzpyqfadein"/>
        </w:rPr>
        <w:t>(</w:t>
      </w:r>
      <w:r w:rsidR="00DA09C1" w:rsidRPr="007F4E9F">
        <w:rPr>
          <w:rFonts w:ascii="Times New Roman" w:hAnsi="Times New Roman"/>
          <w:noProof/>
          <w:lang w:val="es-ES"/>
        </w:rPr>
        <w:t>ICLEI, &amp; ACODAL</w:t>
      </w:r>
      <w:r w:rsidR="00DA09C1" w:rsidRPr="007F4E9F">
        <w:rPr>
          <w:noProof/>
          <w:lang w:val="es-ES"/>
        </w:rPr>
        <w:t>, 2025a).</w:t>
      </w:r>
    </w:p>
    <w:p w14:paraId="74E48777" w14:textId="77777777" w:rsidR="00DA09C1" w:rsidRPr="007F4E9F" w:rsidRDefault="00F6776E" w:rsidP="0032235A">
      <w:pPr>
        <w:jc w:val="both"/>
        <w:rPr>
          <w:noProof/>
          <w:lang w:val="es-ES"/>
        </w:rPr>
      </w:pPr>
      <w:r w:rsidRPr="007F4E9F">
        <w:rPr>
          <w:rFonts w:ascii="Times New Roman" w:eastAsia="Times New Roman" w:hAnsi="Times New Roman" w:cs="Times New Roman"/>
        </w:rPr>
        <w:t>En el sector de plásticos, las cuatro ciudades presentan avances regulatorios, particularmente en la prohibición de plásticos de un solo uso y en la inclusión de estos materiales en los sistemas de responsabilidad extendida del productor (REP) para la gestión de envases y empaques</w:t>
      </w:r>
      <w:r w:rsidR="003D4748" w:rsidRPr="007F4E9F">
        <w:rPr>
          <w:rFonts w:ascii="Times New Roman" w:eastAsia="Times New Roman" w:hAnsi="Times New Roman" w:cs="Times New Roman"/>
        </w:rPr>
        <w:t xml:space="preserve"> </w:t>
      </w:r>
      <w:r w:rsidR="00DA09C1" w:rsidRPr="007F4E9F">
        <w:rPr>
          <w:rStyle w:val="bzpyqfadein"/>
        </w:rPr>
        <w:t>(</w:t>
      </w:r>
      <w:r w:rsidR="00DA09C1" w:rsidRPr="007F4E9F">
        <w:rPr>
          <w:rFonts w:ascii="Times New Roman" w:hAnsi="Times New Roman"/>
          <w:noProof/>
          <w:lang w:val="es-ES"/>
        </w:rPr>
        <w:t>ICLEI, &amp; ACODAL</w:t>
      </w:r>
      <w:r w:rsidR="00DA09C1" w:rsidRPr="007F4E9F">
        <w:rPr>
          <w:noProof/>
          <w:lang w:val="es-ES"/>
        </w:rPr>
        <w:t>, 2025a).</w:t>
      </w:r>
    </w:p>
    <w:p w14:paraId="5FA1AD3E" w14:textId="0DC57856" w:rsidR="00F6776E" w:rsidRPr="007F4E9F" w:rsidRDefault="00F6776E" w:rsidP="0032235A">
      <w:pPr>
        <w:jc w:val="both"/>
        <w:rPr>
          <w:rFonts w:ascii="Times New Roman" w:eastAsia="Times New Roman" w:hAnsi="Times New Roman" w:cs="Times New Roman"/>
        </w:rPr>
      </w:pPr>
      <w:r w:rsidRPr="007F4E9F">
        <w:rPr>
          <w:rFonts w:ascii="Times New Roman" w:eastAsia="Times New Roman" w:hAnsi="Times New Roman" w:cs="Times New Roman"/>
        </w:rPr>
        <w:t>En el sector de construcción, también se observa desarrollo normativo en las cuatro ciudades, orientado principalmente a la gestión de residuos de construcción y demolición (RCD) y a la promoción de estándares de construcción sostenible. Bogotá destaca por un marco regulatorio más amplio en eficiencia energética y gestión de RCD, mientras que Chile, Lima y Quito cuentan con estrategias y normas específicas para la valorización de estos residuos y la transición hacia modelos de construcción circular</w:t>
      </w:r>
      <w:r w:rsidR="003D4748" w:rsidRPr="007F4E9F">
        <w:rPr>
          <w:rFonts w:ascii="Times New Roman" w:eastAsia="Times New Roman" w:hAnsi="Times New Roman" w:cs="Times New Roman"/>
        </w:rPr>
        <w:t xml:space="preserve"> </w:t>
      </w:r>
      <w:r w:rsidR="00DA09C1" w:rsidRPr="007F4E9F">
        <w:rPr>
          <w:rStyle w:val="bzpyqfadein"/>
        </w:rPr>
        <w:t>(</w:t>
      </w:r>
      <w:r w:rsidR="00DA09C1" w:rsidRPr="007F4E9F">
        <w:rPr>
          <w:rFonts w:ascii="Times New Roman" w:hAnsi="Times New Roman"/>
          <w:noProof/>
          <w:lang w:val="es-ES"/>
        </w:rPr>
        <w:t>ICLEI, &amp; ACODAL</w:t>
      </w:r>
      <w:r w:rsidR="00DA09C1" w:rsidRPr="007F4E9F">
        <w:rPr>
          <w:noProof/>
          <w:lang w:val="es-ES"/>
        </w:rPr>
        <w:t>, 2025a).</w:t>
      </w:r>
    </w:p>
    <w:p w14:paraId="3BF9E6DD" w14:textId="77777777" w:rsidR="00DA09C1" w:rsidRPr="007F4E9F" w:rsidRDefault="00F6776E" w:rsidP="0032235A">
      <w:pPr>
        <w:jc w:val="both"/>
        <w:rPr>
          <w:noProof/>
          <w:lang w:val="es-ES"/>
        </w:rPr>
      </w:pPr>
      <w:r w:rsidRPr="007F4E9F">
        <w:rPr>
          <w:rFonts w:ascii="Times New Roman" w:eastAsia="Times New Roman" w:hAnsi="Times New Roman" w:cs="Times New Roman"/>
        </w:rPr>
        <w:t xml:space="preserve">En relación con el sector de alimentos, se evidencian avances en políticas para reducir pérdidas y desperdicios de alimentos, con liderazgo de Santiago mediante su Estrategia Nacional al 2040, seguido por Lima y Bogotá con marcos normativos orientados a la prevención de pérdidas en la cadena alimentaria. No obstante, persisten desafíos regulatorios en la región para facilitar modelos de reutilización y retorno de envases en la cadena de bebidas y </w:t>
      </w:r>
      <w:r w:rsidR="00DA09C1" w:rsidRPr="007F4E9F">
        <w:rPr>
          <w:rStyle w:val="bzpyqfadein"/>
        </w:rPr>
        <w:t>(</w:t>
      </w:r>
      <w:r w:rsidR="00DA09C1" w:rsidRPr="007F4E9F">
        <w:rPr>
          <w:rFonts w:ascii="Times New Roman" w:hAnsi="Times New Roman"/>
          <w:noProof/>
          <w:lang w:val="es-ES"/>
        </w:rPr>
        <w:t>ICLEI, &amp; ACODAL</w:t>
      </w:r>
      <w:r w:rsidR="00DA09C1" w:rsidRPr="007F4E9F">
        <w:rPr>
          <w:noProof/>
          <w:lang w:val="es-ES"/>
        </w:rPr>
        <w:t>, 2025a).</w:t>
      </w:r>
    </w:p>
    <w:p w14:paraId="7986D7E6" w14:textId="4EFC5705" w:rsidR="001C5A3C" w:rsidRPr="007F4E9F" w:rsidRDefault="00F6776E" w:rsidP="0032235A">
      <w:pPr>
        <w:jc w:val="both"/>
        <w:rPr>
          <w:rFonts w:ascii="Times New Roman" w:eastAsia="Times New Roman" w:hAnsi="Times New Roman" w:cs="Times New Roman"/>
        </w:rPr>
      </w:pPr>
      <w:r w:rsidRPr="007F4E9F">
        <w:rPr>
          <w:rFonts w:ascii="Times New Roman" w:eastAsia="Times New Roman" w:hAnsi="Times New Roman" w:cs="Times New Roman"/>
        </w:rPr>
        <w:t>Finalmente, el sector textil presenta un desarrollo normativo más incipiente en la región, destacándose principalmente la ciudad de Santiago, que cuenta con la Estrategia Nacional de Economía Circular para Textiles al 2040 orientada a prevenir residuos, prolongar la vida útil de los productos y fomentar su reutilización y valorización</w:t>
      </w:r>
      <w:r w:rsidR="003D4748" w:rsidRPr="007F4E9F">
        <w:rPr>
          <w:rFonts w:ascii="Times New Roman" w:eastAsia="Times New Roman" w:hAnsi="Times New Roman" w:cs="Times New Roman"/>
        </w:rPr>
        <w:t xml:space="preserve"> </w:t>
      </w:r>
      <w:r w:rsidR="00DA09C1" w:rsidRPr="007F4E9F">
        <w:rPr>
          <w:rStyle w:val="bzpyqfadein"/>
        </w:rPr>
        <w:t>(</w:t>
      </w:r>
      <w:r w:rsidR="00DA09C1" w:rsidRPr="007F4E9F">
        <w:rPr>
          <w:rFonts w:ascii="Times New Roman" w:hAnsi="Times New Roman"/>
          <w:noProof/>
          <w:lang w:val="es-ES"/>
        </w:rPr>
        <w:t>ICLEI, &amp; ACODAL</w:t>
      </w:r>
      <w:r w:rsidR="00DA09C1" w:rsidRPr="007F4E9F">
        <w:rPr>
          <w:noProof/>
          <w:lang w:val="es-ES"/>
        </w:rPr>
        <w:t>, 2025a).</w:t>
      </w:r>
    </w:p>
    <w:p w14:paraId="2BA69F0F" w14:textId="77777777" w:rsidR="00C90E7B" w:rsidRPr="007F4E9F" w:rsidRDefault="00C90E7B" w:rsidP="0032235A">
      <w:pPr>
        <w:pStyle w:val="Heading4"/>
        <w:jc w:val="both"/>
        <w:rPr>
          <w:rFonts w:ascii="Times New Roman" w:hAnsi="Times New Roman"/>
        </w:rPr>
      </w:pPr>
      <w:bookmarkStart w:id="104" w:name="_Toc226750217"/>
      <w:r w:rsidRPr="007F4E9F">
        <w:rPr>
          <w:rFonts w:ascii="Times New Roman" w:hAnsi="Times New Roman"/>
        </w:rPr>
        <w:t>Relevancia frente a las prioridades locales y regionales de sostenibilidad.</w:t>
      </w:r>
      <w:bookmarkEnd w:id="104"/>
    </w:p>
    <w:p w14:paraId="5AEE339D" w14:textId="54AAA3BD" w:rsidR="0096727E" w:rsidRPr="007F4E9F" w:rsidRDefault="000033B5" w:rsidP="0032235A">
      <w:pPr>
        <w:jc w:val="both"/>
        <w:rPr>
          <w:rFonts w:ascii="Times New Roman" w:eastAsia="Times New Roman" w:hAnsi="Times New Roman" w:cs="Times New Roman"/>
        </w:rPr>
      </w:pPr>
      <w:r w:rsidRPr="007F4E9F">
        <w:rPr>
          <w:rFonts w:ascii="Times New Roman" w:eastAsia="Times New Roman" w:hAnsi="Times New Roman" w:cs="Times New Roman"/>
        </w:rPr>
        <w:t>De manera estructurada, se lleva a cabo</w:t>
      </w:r>
      <w:r w:rsidR="00141134" w:rsidRPr="007F4E9F">
        <w:rPr>
          <w:rFonts w:ascii="Times New Roman" w:eastAsia="Times New Roman" w:hAnsi="Times New Roman" w:cs="Times New Roman"/>
        </w:rPr>
        <w:t xml:space="preserve"> un barrido de jerarquía normativa de acuerdo con la Pirámide Kelsen </w:t>
      </w:r>
      <w:r w:rsidRPr="007F4E9F">
        <w:rPr>
          <w:rFonts w:ascii="Times New Roman" w:eastAsia="Times New Roman" w:hAnsi="Times New Roman" w:cs="Times New Roman"/>
        </w:rPr>
        <w:t>para la</w:t>
      </w:r>
      <w:r w:rsidR="00141134" w:rsidRPr="007F4E9F">
        <w:rPr>
          <w:rFonts w:ascii="Times New Roman" w:eastAsia="Times New Roman" w:hAnsi="Times New Roman" w:cs="Times New Roman"/>
        </w:rPr>
        <w:t xml:space="preserve"> jerarquía jurídica desde lo constitucional, las leyes marco ambientales, la normatividad especifica de gestión de residuos y REP, decretos, leyes, reglamentos, resoluciones, acuerdos ministeriales, políticas, estrategias y normativa local.</w:t>
      </w:r>
      <w:r w:rsidR="00555D71" w:rsidRPr="007F4E9F">
        <w:rPr>
          <w:rFonts w:ascii="Times New Roman" w:eastAsia="Times New Roman" w:hAnsi="Times New Roman" w:cs="Times New Roman"/>
        </w:rPr>
        <w:t xml:space="preserve"> El análisis comparativo</w:t>
      </w:r>
      <w:r w:rsidR="002D05C0" w:rsidRPr="007F4E9F">
        <w:rPr>
          <w:rFonts w:ascii="Times New Roman" w:eastAsia="Times New Roman" w:hAnsi="Times New Roman" w:cs="Times New Roman"/>
        </w:rPr>
        <w:t xml:space="preserve"> </w:t>
      </w:r>
      <w:r w:rsidR="00555D71" w:rsidRPr="007F4E9F">
        <w:rPr>
          <w:rFonts w:ascii="Times New Roman" w:eastAsia="Times New Roman" w:hAnsi="Times New Roman" w:cs="Times New Roman"/>
        </w:rPr>
        <w:t>se puede apreciar en la taba 1</w:t>
      </w:r>
      <w:r w:rsidR="003D4748" w:rsidRPr="007F4E9F">
        <w:rPr>
          <w:rFonts w:ascii="Times New Roman" w:eastAsia="Times New Roman" w:hAnsi="Times New Roman" w:cs="Times New Roman"/>
        </w:rPr>
        <w:t>2</w:t>
      </w:r>
      <w:r w:rsidR="002D05C0" w:rsidRPr="007F4E9F">
        <w:rPr>
          <w:rFonts w:ascii="Times New Roman" w:eastAsia="Times New Roman" w:hAnsi="Times New Roman" w:cs="Times New Roman"/>
        </w:rPr>
        <w:t xml:space="preserve">. </w:t>
      </w:r>
    </w:p>
    <w:p w14:paraId="42CE96D9" w14:textId="28554702" w:rsidR="001C5A3C" w:rsidRPr="007F4E9F" w:rsidRDefault="001C5A3C" w:rsidP="0032235A">
      <w:pPr>
        <w:pStyle w:val="Caption"/>
        <w:keepNext/>
        <w:jc w:val="both"/>
        <w:rPr>
          <w:rFonts w:ascii="Times New Roman" w:hAnsi="Times New Roman" w:cs="Times New Roman"/>
          <w:sz w:val="22"/>
          <w:szCs w:val="22"/>
        </w:rPr>
      </w:pPr>
      <w:r w:rsidRPr="007F4E9F">
        <w:rPr>
          <w:rFonts w:ascii="Times New Roman" w:hAnsi="Times New Roman" w:cs="Times New Roman"/>
          <w:sz w:val="22"/>
          <w:szCs w:val="22"/>
        </w:rPr>
        <w:t xml:space="preserve">Tabla </w:t>
      </w:r>
      <w:r w:rsidR="003D4748" w:rsidRPr="007F4E9F">
        <w:rPr>
          <w:rFonts w:ascii="Times New Roman" w:hAnsi="Times New Roman" w:cs="Times New Roman"/>
          <w:sz w:val="22"/>
          <w:szCs w:val="22"/>
        </w:rPr>
        <w:t xml:space="preserve">2 </w:t>
      </w:r>
      <w:r w:rsidRPr="007F4E9F">
        <w:rPr>
          <w:rFonts w:ascii="Times New Roman" w:hAnsi="Times New Roman" w:cs="Times New Roman"/>
          <w:i/>
          <w:iCs/>
          <w:sz w:val="22"/>
          <w:szCs w:val="22"/>
        </w:rPr>
        <w:t>Comparativo de jerarquía normativa (extraída de la Pirámide de Kelsen)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727"/>
        <w:gridCol w:w="1726"/>
        <w:gridCol w:w="1726"/>
        <w:gridCol w:w="1726"/>
      </w:tblGrid>
      <w:tr w:rsidR="0096727E" w:rsidRPr="007F4E9F" w14:paraId="61D542FE" w14:textId="77777777" w:rsidTr="00515D08">
        <w:tc>
          <w:tcPr>
            <w:tcW w:w="1725" w:type="dxa"/>
            <w:vAlign w:val="center"/>
          </w:tcPr>
          <w:p w14:paraId="7F3F02C5" w14:textId="77777777" w:rsidR="0096727E" w:rsidRPr="007F4E9F" w:rsidRDefault="0096727E" w:rsidP="0032235A">
            <w:pPr>
              <w:jc w:val="both"/>
              <w:rPr>
                <w:rFonts w:ascii="Times New Roman" w:hAnsi="Times New Roman" w:cs="Times New Roman"/>
                <w:b/>
                <w:bCs/>
              </w:rPr>
            </w:pPr>
            <w:r w:rsidRPr="007F4E9F">
              <w:rPr>
                <w:rFonts w:ascii="Times New Roman" w:hAnsi="Times New Roman" w:cs="Times New Roman"/>
                <w:b/>
                <w:bCs/>
              </w:rPr>
              <w:t>Jerarquía normativa</w:t>
            </w:r>
          </w:p>
        </w:tc>
        <w:tc>
          <w:tcPr>
            <w:tcW w:w="1727" w:type="dxa"/>
            <w:vAlign w:val="center"/>
          </w:tcPr>
          <w:p w14:paraId="2F5A3F9F" w14:textId="77777777" w:rsidR="0096727E" w:rsidRPr="007F4E9F" w:rsidRDefault="0096727E" w:rsidP="0032235A">
            <w:pPr>
              <w:jc w:val="both"/>
              <w:rPr>
                <w:rFonts w:ascii="Times New Roman" w:hAnsi="Times New Roman" w:cs="Times New Roman"/>
                <w:b/>
                <w:bCs/>
              </w:rPr>
            </w:pPr>
            <w:r w:rsidRPr="007F4E9F">
              <w:rPr>
                <w:rFonts w:ascii="Times New Roman" w:hAnsi="Times New Roman" w:cs="Times New Roman"/>
                <w:b/>
                <w:bCs/>
              </w:rPr>
              <w:t>Bogotá – Colombia</w:t>
            </w:r>
          </w:p>
        </w:tc>
        <w:tc>
          <w:tcPr>
            <w:tcW w:w="1726" w:type="dxa"/>
            <w:vAlign w:val="center"/>
          </w:tcPr>
          <w:p w14:paraId="34477A93" w14:textId="77777777" w:rsidR="0096727E" w:rsidRPr="007F4E9F" w:rsidRDefault="0096727E" w:rsidP="0032235A">
            <w:pPr>
              <w:jc w:val="both"/>
              <w:rPr>
                <w:rFonts w:ascii="Times New Roman" w:hAnsi="Times New Roman" w:cs="Times New Roman"/>
                <w:b/>
                <w:bCs/>
              </w:rPr>
            </w:pPr>
            <w:r w:rsidRPr="007F4E9F">
              <w:rPr>
                <w:rFonts w:ascii="Times New Roman" w:hAnsi="Times New Roman" w:cs="Times New Roman"/>
                <w:b/>
                <w:bCs/>
              </w:rPr>
              <w:t>Lima – Perú</w:t>
            </w:r>
          </w:p>
        </w:tc>
        <w:tc>
          <w:tcPr>
            <w:tcW w:w="1726" w:type="dxa"/>
            <w:vAlign w:val="center"/>
          </w:tcPr>
          <w:p w14:paraId="35361BA4" w14:textId="77777777" w:rsidR="0096727E" w:rsidRPr="007F4E9F" w:rsidRDefault="0096727E" w:rsidP="0032235A">
            <w:pPr>
              <w:jc w:val="both"/>
              <w:rPr>
                <w:rFonts w:ascii="Times New Roman" w:hAnsi="Times New Roman" w:cs="Times New Roman"/>
                <w:b/>
                <w:bCs/>
              </w:rPr>
            </w:pPr>
            <w:r w:rsidRPr="007F4E9F">
              <w:rPr>
                <w:rFonts w:ascii="Times New Roman" w:hAnsi="Times New Roman" w:cs="Times New Roman"/>
                <w:b/>
                <w:bCs/>
              </w:rPr>
              <w:t>Quito – Ecuador</w:t>
            </w:r>
          </w:p>
        </w:tc>
        <w:tc>
          <w:tcPr>
            <w:tcW w:w="1726" w:type="dxa"/>
            <w:vAlign w:val="center"/>
          </w:tcPr>
          <w:p w14:paraId="77CF2BEE" w14:textId="77777777" w:rsidR="0096727E" w:rsidRPr="007F4E9F" w:rsidRDefault="0096727E" w:rsidP="0032235A">
            <w:pPr>
              <w:jc w:val="both"/>
              <w:rPr>
                <w:rFonts w:ascii="Times New Roman" w:hAnsi="Times New Roman" w:cs="Times New Roman"/>
                <w:b/>
                <w:bCs/>
              </w:rPr>
            </w:pPr>
            <w:r w:rsidRPr="007F4E9F">
              <w:rPr>
                <w:rFonts w:ascii="Times New Roman" w:hAnsi="Times New Roman" w:cs="Times New Roman"/>
                <w:b/>
                <w:bCs/>
              </w:rPr>
              <w:t>Santiago – Chile</w:t>
            </w:r>
          </w:p>
        </w:tc>
      </w:tr>
      <w:tr w:rsidR="0096727E" w:rsidRPr="007F4E9F" w14:paraId="096911EB" w14:textId="77777777" w:rsidTr="00515D08">
        <w:tc>
          <w:tcPr>
            <w:tcW w:w="1725" w:type="dxa"/>
            <w:vAlign w:val="center"/>
          </w:tcPr>
          <w:p w14:paraId="4D77FC17"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Constitución</w:t>
            </w:r>
          </w:p>
        </w:tc>
        <w:tc>
          <w:tcPr>
            <w:tcW w:w="1727" w:type="dxa"/>
            <w:vAlign w:val="center"/>
          </w:tcPr>
          <w:p w14:paraId="0F0ED4D3"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Constitución Política de 1991 (Arts. 79 y 80).</w:t>
            </w:r>
          </w:p>
        </w:tc>
        <w:tc>
          <w:tcPr>
            <w:tcW w:w="1726" w:type="dxa"/>
            <w:vAlign w:val="center"/>
          </w:tcPr>
          <w:p w14:paraId="47076DA8"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Constitución Política del Perú (Arts. 66–69).</w:t>
            </w:r>
          </w:p>
        </w:tc>
        <w:tc>
          <w:tcPr>
            <w:tcW w:w="1726" w:type="dxa"/>
            <w:vAlign w:val="center"/>
          </w:tcPr>
          <w:p w14:paraId="0306990E"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Constitución de 2008 (Arts. 395–399).</w:t>
            </w:r>
          </w:p>
        </w:tc>
        <w:tc>
          <w:tcPr>
            <w:tcW w:w="1726" w:type="dxa"/>
            <w:vAlign w:val="center"/>
          </w:tcPr>
          <w:p w14:paraId="2F2A6B74"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Constitución Política (Art. 19 Nº8).</w:t>
            </w:r>
          </w:p>
        </w:tc>
      </w:tr>
      <w:tr w:rsidR="0096727E" w:rsidRPr="007F4E9F" w14:paraId="2B3D0459" w14:textId="77777777" w:rsidTr="00515D08">
        <w:tc>
          <w:tcPr>
            <w:tcW w:w="1725" w:type="dxa"/>
            <w:vAlign w:val="center"/>
          </w:tcPr>
          <w:p w14:paraId="1EE12782"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Leyes marco ambientales</w:t>
            </w:r>
          </w:p>
        </w:tc>
        <w:tc>
          <w:tcPr>
            <w:tcW w:w="1727" w:type="dxa"/>
            <w:vAlign w:val="center"/>
          </w:tcPr>
          <w:p w14:paraId="3EB5767A"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Ley 99 de 1993.</w:t>
            </w:r>
          </w:p>
        </w:tc>
        <w:tc>
          <w:tcPr>
            <w:tcW w:w="1726" w:type="dxa"/>
            <w:vAlign w:val="center"/>
          </w:tcPr>
          <w:p w14:paraId="528EEE67"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Ley 28611 – Ley General del Ambiente.</w:t>
            </w:r>
          </w:p>
        </w:tc>
        <w:tc>
          <w:tcPr>
            <w:tcW w:w="1726" w:type="dxa"/>
            <w:vAlign w:val="center"/>
          </w:tcPr>
          <w:p w14:paraId="505CB537"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Código Orgánico del Ambiente.</w:t>
            </w:r>
          </w:p>
        </w:tc>
        <w:tc>
          <w:tcPr>
            <w:tcW w:w="1726" w:type="dxa"/>
            <w:vAlign w:val="center"/>
          </w:tcPr>
          <w:p w14:paraId="0FA0E9FB"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Ley 19.300 – Bases Generales del Medio Ambiente.</w:t>
            </w:r>
          </w:p>
        </w:tc>
      </w:tr>
      <w:tr w:rsidR="0096727E" w:rsidRPr="007F4E9F" w14:paraId="75107405" w14:textId="77777777" w:rsidTr="00515D08">
        <w:tc>
          <w:tcPr>
            <w:tcW w:w="1725" w:type="dxa"/>
            <w:vAlign w:val="center"/>
          </w:tcPr>
          <w:p w14:paraId="5EDC8CB8"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Leyes específicas EC / residuos / REP</w:t>
            </w:r>
          </w:p>
        </w:tc>
        <w:tc>
          <w:tcPr>
            <w:tcW w:w="1727" w:type="dxa"/>
            <w:vAlign w:val="center"/>
          </w:tcPr>
          <w:p w14:paraId="4E0F4622"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Ley 1672 de 2013; Ley 2232 de 2022.</w:t>
            </w:r>
          </w:p>
        </w:tc>
        <w:tc>
          <w:tcPr>
            <w:tcW w:w="1726" w:type="dxa"/>
            <w:vAlign w:val="center"/>
          </w:tcPr>
          <w:p w14:paraId="3B0277A5"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Ley de Gestión Integral de Residuos Sólidos.</w:t>
            </w:r>
          </w:p>
        </w:tc>
        <w:tc>
          <w:tcPr>
            <w:tcW w:w="1726" w:type="dxa"/>
            <w:vAlign w:val="center"/>
          </w:tcPr>
          <w:p w14:paraId="68B4C0FE"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Disposiciones específicas del COA.</w:t>
            </w:r>
          </w:p>
        </w:tc>
        <w:tc>
          <w:tcPr>
            <w:tcW w:w="1726" w:type="dxa"/>
            <w:vAlign w:val="center"/>
          </w:tcPr>
          <w:p w14:paraId="795CB81F"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Ley 20.920 (Ley REP).</w:t>
            </w:r>
          </w:p>
        </w:tc>
      </w:tr>
      <w:tr w:rsidR="0096727E" w:rsidRPr="007F4E9F" w14:paraId="3E037FAE" w14:textId="77777777" w:rsidTr="00515D08">
        <w:tc>
          <w:tcPr>
            <w:tcW w:w="1725" w:type="dxa"/>
            <w:vAlign w:val="center"/>
          </w:tcPr>
          <w:p w14:paraId="133FE046"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Decretos / Reglamentos</w:t>
            </w:r>
          </w:p>
        </w:tc>
        <w:tc>
          <w:tcPr>
            <w:tcW w:w="1727" w:type="dxa"/>
            <w:vAlign w:val="center"/>
          </w:tcPr>
          <w:p w14:paraId="148BAC08"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Decretos reglamentarios de residuos y REP.</w:t>
            </w:r>
          </w:p>
        </w:tc>
        <w:tc>
          <w:tcPr>
            <w:tcW w:w="1726" w:type="dxa"/>
            <w:vAlign w:val="center"/>
          </w:tcPr>
          <w:p w14:paraId="4D537723"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Decretos Supremos de residuos y REP.</w:t>
            </w:r>
          </w:p>
        </w:tc>
        <w:tc>
          <w:tcPr>
            <w:tcW w:w="1726" w:type="dxa"/>
            <w:vAlign w:val="center"/>
          </w:tcPr>
          <w:p w14:paraId="160E5774"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Reglamentos ejecutivos del COA.</w:t>
            </w:r>
          </w:p>
        </w:tc>
        <w:tc>
          <w:tcPr>
            <w:tcW w:w="1726" w:type="dxa"/>
            <w:vAlign w:val="center"/>
          </w:tcPr>
          <w:p w14:paraId="3F3DB989"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Decretos Supremos de la Ley REP.</w:t>
            </w:r>
          </w:p>
        </w:tc>
      </w:tr>
      <w:tr w:rsidR="0096727E" w:rsidRPr="007F4E9F" w14:paraId="14C9CE38" w14:textId="77777777" w:rsidTr="00515D08">
        <w:tc>
          <w:tcPr>
            <w:tcW w:w="1725" w:type="dxa"/>
            <w:vAlign w:val="center"/>
          </w:tcPr>
          <w:p w14:paraId="274617EB"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Resoluciones / Acuerdos ministeriales</w:t>
            </w:r>
          </w:p>
        </w:tc>
        <w:tc>
          <w:tcPr>
            <w:tcW w:w="1727" w:type="dxa"/>
            <w:vAlign w:val="center"/>
          </w:tcPr>
          <w:p w14:paraId="471066D1"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Resoluciones del Ministerio de Ambiente.</w:t>
            </w:r>
          </w:p>
        </w:tc>
        <w:tc>
          <w:tcPr>
            <w:tcW w:w="1726" w:type="dxa"/>
            <w:vAlign w:val="center"/>
          </w:tcPr>
          <w:p w14:paraId="5B452E99"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Resoluciones del MINAM.</w:t>
            </w:r>
          </w:p>
        </w:tc>
        <w:tc>
          <w:tcPr>
            <w:tcW w:w="1726" w:type="dxa"/>
            <w:vAlign w:val="center"/>
          </w:tcPr>
          <w:p w14:paraId="08199926"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Acuerdos ministeriales del MAATE.</w:t>
            </w:r>
          </w:p>
        </w:tc>
        <w:tc>
          <w:tcPr>
            <w:tcW w:w="1726" w:type="dxa"/>
            <w:vAlign w:val="center"/>
          </w:tcPr>
          <w:p w14:paraId="5914FA0E"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Resoluciones del MMA.</w:t>
            </w:r>
          </w:p>
        </w:tc>
      </w:tr>
      <w:tr w:rsidR="0096727E" w:rsidRPr="007F4E9F" w14:paraId="6CB5E68A" w14:textId="77777777" w:rsidTr="00515D08">
        <w:tc>
          <w:tcPr>
            <w:tcW w:w="1725" w:type="dxa"/>
            <w:vAlign w:val="center"/>
          </w:tcPr>
          <w:p w14:paraId="1CF8F9BC"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Política pública y estrategias</w:t>
            </w:r>
          </w:p>
        </w:tc>
        <w:tc>
          <w:tcPr>
            <w:tcW w:w="1727" w:type="dxa"/>
            <w:vAlign w:val="center"/>
          </w:tcPr>
          <w:p w14:paraId="16916E67"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CONPES 3874; Política Nacional de EC.</w:t>
            </w:r>
          </w:p>
        </w:tc>
        <w:tc>
          <w:tcPr>
            <w:tcW w:w="1726" w:type="dxa"/>
            <w:vAlign w:val="center"/>
          </w:tcPr>
          <w:p w14:paraId="6445155F"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Hoja de Ruta Nacional de EC.</w:t>
            </w:r>
          </w:p>
        </w:tc>
        <w:tc>
          <w:tcPr>
            <w:tcW w:w="1726" w:type="dxa"/>
            <w:vAlign w:val="center"/>
          </w:tcPr>
          <w:p w14:paraId="4951C0F1"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Estrategia Nacional de EC.</w:t>
            </w:r>
          </w:p>
        </w:tc>
        <w:tc>
          <w:tcPr>
            <w:tcW w:w="1726" w:type="dxa"/>
            <w:vAlign w:val="center"/>
          </w:tcPr>
          <w:p w14:paraId="6063B8D0"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Hoja de Ruta de EC 2040.</w:t>
            </w:r>
          </w:p>
        </w:tc>
      </w:tr>
      <w:tr w:rsidR="0096727E" w:rsidRPr="007F4E9F" w14:paraId="4FE2CA05" w14:textId="77777777" w:rsidTr="00515D08">
        <w:tc>
          <w:tcPr>
            <w:tcW w:w="1725" w:type="dxa"/>
            <w:vAlign w:val="center"/>
          </w:tcPr>
          <w:p w14:paraId="195A3A51"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Normativa territorial / local</w:t>
            </w:r>
          </w:p>
        </w:tc>
        <w:tc>
          <w:tcPr>
            <w:tcW w:w="1727" w:type="dxa"/>
            <w:vAlign w:val="center"/>
          </w:tcPr>
          <w:p w14:paraId="357BE468"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Acuerdos y decretos distritales (Bogotá).</w:t>
            </w:r>
          </w:p>
        </w:tc>
        <w:tc>
          <w:tcPr>
            <w:tcW w:w="1726" w:type="dxa"/>
            <w:vAlign w:val="center"/>
          </w:tcPr>
          <w:p w14:paraId="6CF63F59"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Ordenanzas municipales de Lima.</w:t>
            </w:r>
          </w:p>
        </w:tc>
        <w:tc>
          <w:tcPr>
            <w:tcW w:w="1726" w:type="dxa"/>
            <w:vAlign w:val="center"/>
          </w:tcPr>
          <w:p w14:paraId="3DE923CE"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Ordenanzas municipales del DMQ.</w:t>
            </w:r>
          </w:p>
        </w:tc>
        <w:tc>
          <w:tcPr>
            <w:tcW w:w="1726" w:type="dxa"/>
            <w:vAlign w:val="center"/>
          </w:tcPr>
          <w:p w14:paraId="340F7406" w14:textId="77777777" w:rsidR="0096727E" w:rsidRPr="007F4E9F" w:rsidRDefault="0096727E" w:rsidP="0032235A">
            <w:pPr>
              <w:jc w:val="both"/>
              <w:rPr>
                <w:rFonts w:ascii="Times New Roman" w:hAnsi="Times New Roman" w:cs="Times New Roman"/>
              </w:rPr>
            </w:pPr>
            <w:r w:rsidRPr="007F4E9F">
              <w:rPr>
                <w:rFonts w:ascii="Times New Roman" w:hAnsi="Times New Roman" w:cs="Times New Roman"/>
              </w:rPr>
              <w:t>Ordenanzas ambientales municipales.</w:t>
            </w:r>
          </w:p>
        </w:tc>
      </w:tr>
    </w:tbl>
    <w:p w14:paraId="55D1EE1B" w14:textId="374630B6" w:rsidR="002D05C0" w:rsidRPr="007F4E9F" w:rsidRDefault="00F07736" w:rsidP="0032235A">
      <w:pPr>
        <w:jc w:val="both"/>
        <w:rPr>
          <w:rFonts w:ascii="Times New Roman" w:eastAsia="Times New Roman" w:hAnsi="Times New Roman" w:cs="Times New Roman"/>
        </w:rPr>
      </w:pPr>
      <w:r w:rsidRPr="007F4E9F">
        <w:rPr>
          <w:rFonts w:ascii="Times New Roman" w:hAnsi="Times New Roman"/>
        </w:rPr>
        <w:t xml:space="preserve">Fuente: Elaboración propia basada en </w:t>
      </w:r>
      <w:r w:rsidRPr="007F4E9F">
        <w:rPr>
          <w:rFonts w:ascii="Times New Roman" w:hAnsi="Times New Roman"/>
          <w:noProof/>
          <w:lang w:val="es-ES"/>
        </w:rPr>
        <w:t>ICLEI, &amp; ACODAL. (2025</w:t>
      </w:r>
      <w:r w:rsidR="00347E79" w:rsidRPr="007F4E9F">
        <w:rPr>
          <w:rFonts w:ascii="Times New Roman" w:hAnsi="Times New Roman"/>
          <w:noProof/>
          <w:lang w:val="es-ES"/>
        </w:rPr>
        <w:t>a</w:t>
      </w:r>
      <w:r w:rsidRPr="007F4E9F">
        <w:rPr>
          <w:rFonts w:ascii="Times New Roman" w:hAnsi="Times New Roman"/>
          <w:noProof/>
          <w:lang w:val="es-ES"/>
        </w:rPr>
        <w:t xml:space="preserve">). </w:t>
      </w:r>
      <w:r w:rsidRPr="007F4E9F">
        <w:rPr>
          <w:rFonts w:ascii="Times New Roman" w:hAnsi="Times New Roman"/>
          <w:i/>
          <w:iCs/>
          <w:noProof/>
          <w:lang w:val="es-ES"/>
        </w:rPr>
        <w:t>diagnóstico y propuesta de fortalecimiento normativo.</w:t>
      </w:r>
      <w:r w:rsidRPr="007F4E9F">
        <w:rPr>
          <w:rFonts w:ascii="Times New Roman" w:hAnsi="Times New Roman"/>
          <w:noProof/>
          <w:lang w:val="es-ES"/>
        </w:rPr>
        <w:t xml:space="preserve"> Bogotá D.C</w:t>
      </w:r>
    </w:p>
    <w:p w14:paraId="3BCFD9ED" w14:textId="4E00AD9C" w:rsidR="001C5A3C" w:rsidRPr="007F4E9F" w:rsidRDefault="006B4A8D" w:rsidP="0032235A">
      <w:pPr>
        <w:jc w:val="both"/>
        <w:rPr>
          <w:rFonts w:ascii="Times New Roman" w:eastAsia="Times New Roman" w:hAnsi="Times New Roman" w:cs="Times New Roman"/>
        </w:rPr>
      </w:pPr>
      <w:r w:rsidRPr="007F4E9F">
        <w:rPr>
          <w:rFonts w:ascii="Times New Roman" w:eastAsia="Times New Roman" w:hAnsi="Times New Roman" w:cs="Times New Roman"/>
        </w:rPr>
        <w:t xml:space="preserve">Aunque el marco regulatorio es amplio, las normativas se concentran en la gestión integral de residuos al final del tubo (recolección y disposición final). Ante esta situación el estudio profundiza en el nivel de obligatoriedad de las normas </w:t>
      </w:r>
      <w:r w:rsidR="00504955" w:rsidRPr="007F4E9F">
        <w:rPr>
          <w:rFonts w:ascii="Times New Roman" w:eastAsia="Times New Roman" w:hAnsi="Times New Roman" w:cs="Times New Roman"/>
        </w:rPr>
        <w:t xml:space="preserve">y políticas en economía circular. Es así que se estructuran tablas por ciudad con normativas, su descripción y su obligatoriedad. Adicionalmente, para dar fuerza a las prioridades locales, también se cuentan con tablas por ciudad que definen </w:t>
      </w:r>
      <w:r w:rsidR="00CB362D" w:rsidRPr="007F4E9F">
        <w:rPr>
          <w:rFonts w:ascii="Times New Roman" w:eastAsia="Times New Roman" w:hAnsi="Times New Roman" w:cs="Times New Roman"/>
        </w:rPr>
        <w:t>las facultades exclusivas</w:t>
      </w:r>
      <w:r w:rsidR="00504955" w:rsidRPr="007F4E9F">
        <w:rPr>
          <w:rFonts w:ascii="Times New Roman" w:eastAsia="Times New Roman" w:hAnsi="Times New Roman" w:cs="Times New Roman"/>
        </w:rPr>
        <w:t xml:space="preserve"> de cada ciudad y las que comparten con otros organismos</w:t>
      </w:r>
      <w:r w:rsidR="00CB362D" w:rsidRPr="007F4E9F">
        <w:rPr>
          <w:rFonts w:ascii="Times New Roman" w:eastAsia="Times New Roman" w:hAnsi="Times New Roman" w:cs="Times New Roman"/>
        </w:rPr>
        <w:t xml:space="preserve">. </w:t>
      </w:r>
    </w:p>
    <w:p w14:paraId="5938306E" w14:textId="77777777" w:rsidR="00D13C3C" w:rsidRPr="007F4E9F" w:rsidRDefault="00D13C3C" w:rsidP="0032235A">
      <w:pPr>
        <w:pStyle w:val="Heading4"/>
        <w:jc w:val="both"/>
        <w:rPr>
          <w:rFonts w:ascii="Times New Roman" w:hAnsi="Times New Roman"/>
        </w:rPr>
      </w:pPr>
      <w:bookmarkStart w:id="105" w:name="_Toc226750218"/>
      <w:r w:rsidRPr="007F4E9F">
        <w:rPr>
          <w:rFonts w:ascii="Times New Roman" w:hAnsi="Times New Roman"/>
        </w:rPr>
        <w:t>Percepciones de los actores</w:t>
      </w:r>
      <w:bookmarkEnd w:id="105"/>
      <w:r w:rsidRPr="007F4E9F">
        <w:rPr>
          <w:rFonts w:ascii="Times New Roman" w:hAnsi="Times New Roman"/>
        </w:rPr>
        <w:t xml:space="preserve"> </w:t>
      </w:r>
    </w:p>
    <w:p w14:paraId="01E3F397" w14:textId="6A91E0B4" w:rsidR="00D13C3C" w:rsidRPr="007F4E9F" w:rsidRDefault="00D643BF" w:rsidP="0032235A">
      <w:pPr>
        <w:jc w:val="both"/>
        <w:rPr>
          <w:rFonts w:ascii="Times New Roman" w:hAnsi="Times New Roman" w:cs="Times New Roman"/>
        </w:rPr>
      </w:pPr>
      <w:r w:rsidRPr="007F4E9F">
        <w:rPr>
          <w:rFonts w:ascii="Times New Roman" w:hAnsi="Times New Roman" w:cs="Times New Roman"/>
        </w:rPr>
        <w:t xml:space="preserve">Ante la pertinencia de un fortalecimiento normativo existe unanimidad en los integrantes del comité directivo al afirmar la necesidad de contar con un marco normativo habilitador de los negocios circulares. Por una parte, para trascender un marco regulatorio y de política </w:t>
      </w:r>
      <w:r w:rsidR="003E2785" w:rsidRPr="007F4E9F">
        <w:rPr>
          <w:rFonts w:ascii="Times New Roman" w:hAnsi="Times New Roman" w:cs="Times New Roman"/>
        </w:rPr>
        <w:t>pública</w:t>
      </w:r>
      <w:r w:rsidRPr="007F4E9F">
        <w:rPr>
          <w:rFonts w:ascii="Times New Roman" w:hAnsi="Times New Roman" w:cs="Times New Roman"/>
        </w:rPr>
        <w:t xml:space="preserve"> basado en la gestión de residuos al final del tubo y por otra parte para viabilizar modelos de negocio enfocados </w:t>
      </w:r>
      <w:r w:rsidR="003C40C9" w:rsidRPr="007F4E9F">
        <w:rPr>
          <w:rFonts w:ascii="Times New Roman" w:hAnsi="Times New Roman" w:cs="Times New Roman"/>
        </w:rPr>
        <w:t xml:space="preserve">el ecodiseño, </w:t>
      </w:r>
      <w:r w:rsidRPr="007F4E9F">
        <w:rPr>
          <w:rFonts w:ascii="Times New Roman" w:hAnsi="Times New Roman" w:cs="Times New Roman"/>
        </w:rPr>
        <w:t xml:space="preserve">en el </w:t>
      </w:r>
      <w:r w:rsidR="00896792" w:rsidRPr="007F4E9F">
        <w:rPr>
          <w:rFonts w:ascii="Times New Roman" w:hAnsi="Times New Roman" w:cs="Times New Roman"/>
        </w:rPr>
        <w:t>reúso</w:t>
      </w:r>
      <w:r w:rsidR="003C40C9" w:rsidRPr="007F4E9F">
        <w:rPr>
          <w:rFonts w:ascii="Times New Roman" w:hAnsi="Times New Roman" w:cs="Times New Roman"/>
        </w:rPr>
        <w:t>, la separabilidad y otras opciones de retención de valor que alarguen la vida útil y permitan la regeneración natural. Es decir que promuevan una economía circular en el origen que complemente la economía circular al final del tubo que sigue siendo importante ante el gran volumen de residuos que se genera actualmente en la región.</w:t>
      </w:r>
    </w:p>
    <w:p w14:paraId="71472593" w14:textId="77777777" w:rsidR="00347E79" w:rsidRPr="007F4E9F" w:rsidRDefault="00E77FBF" w:rsidP="0032235A">
      <w:pPr>
        <w:jc w:val="both"/>
        <w:rPr>
          <w:rStyle w:val="bzpyqfadein"/>
          <w:rFonts w:ascii="Times New Roman" w:hAnsi="Times New Roman" w:cs="Times New Roman"/>
        </w:rPr>
      </w:pPr>
      <w:r w:rsidRPr="007F4E9F">
        <w:rPr>
          <w:rFonts w:ascii="Times New Roman" w:hAnsi="Times New Roman" w:cs="Times New Roman"/>
        </w:rPr>
        <w:t>Los participantes a espacios de validación en las 3 ciudades resaltan elementos importantes frente a brechas y oportunidades de marco regulatorio</w:t>
      </w:r>
      <w:r w:rsidR="00584C7A" w:rsidRPr="007F4E9F">
        <w:rPr>
          <w:rFonts w:ascii="Times New Roman" w:hAnsi="Times New Roman" w:cs="Times New Roman"/>
        </w:rPr>
        <w:t xml:space="preserve"> indicando que las empresas perciben un incremento en las presiones regulatorias con orientación circular como las normativas </w:t>
      </w:r>
      <w:r w:rsidR="003E2785" w:rsidRPr="007F4E9F">
        <w:rPr>
          <w:rFonts w:ascii="Times New Roman" w:hAnsi="Times New Roman" w:cs="Times New Roman"/>
        </w:rPr>
        <w:t>REP,</w:t>
      </w:r>
      <w:r w:rsidR="00584C7A" w:rsidRPr="007F4E9F">
        <w:rPr>
          <w:rFonts w:ascii="Times New Roman" w:hAnsi="Times New Roman" w:cs="Times New Roman"/>
        </w:rPr>
        <w:t xml:space="preserve"> por ejemplo</w:t>
      </w:r>
      <w:r w:rsidRPr="007F4E9F">
        <w:rPr>
          <w:rFonts w:ascii="Times New Roman" w:hAnsi="Times New Roman" w:cs="Times New Roman"/>
        </w:rPr>
        <w:t xml:space="preserve">. </w:t>
      </w:r>
      <w:r w:rsidRPr="007F4E9F">
        <w:rPr>
          <w:rStyle w:val="bzpyqfadein"/>
          <w:rFonts w:ascii="Times New Roman" w:hAnsi="Times New Roman" w:cs="Times New Roman"/>
        </w:rPr>
        <w:t xml:space="preserve">El análisis comparativo de Bogotá, Quito y Santiago evidencia avances en la incorporación de la economía circular en sus marcos normativos, aunque con distintos niveles de desarrollo y énfasis. Mientras Bogotá cuenta con un marco regulatorio más consolidado, los principales desafíos se relacionan con su implementación efectiva. </w:t>
      </w:r>
    </w:p>
    <w:p w14:paraId="0632403E" w14:textId="1AC777AF" w:rsidR="003C40C9" w:rsidRPr="007F4E9F" w:rsidRDefault="00E77FBF" w:rsidP="0032235A">
      <w:pPr>
        <w:jc w:val="both"/>
        <w:rPr>
          <w:rStyle w:val="bzpyqfadein"/>
          <w:rFonts w:ascii="Times New Roman" w:hAnsi="Times New Roman" w:cs="Times New Roman"/>
        </w:rPr>
      </w:pPr>
      <w:r w:rsidRPr="007F4E9F">
        <w:rPr>
          <w:rStyle w:val="bzpyqfadein"/>
          <w:rFonts w:ascii="Times New Roman" w:hAnsi="Times New Roman" w:cs="Times New Roman"/>
        </w:rPr>
        <w:t>En Quito, la regulación aún se encuentra en proceso de consolidación, destacándose la necesidad de fortalecer ordenanzas municipales e incentivos económicos. En Santiago, pese a contar con instrumentos avanzados, persisten vacíos técnicos</w:t>
      </w:r>
      <w:r w:rsidR="00A0257A" w:rsidRPr="007F4E9F">
        <w:rPr>
          <w:rStyle w:val="bzpyqfadein"/>
          <w:rFonts w:ascii="Times New Roman" w:hAnsi="Times New Roman" w:cs="Times New Roman"/>
        </w:rPr>
        <w:t xml:space="preserve"> </w:t>
      </w:r>
      <w:r w:rsidRPr="007F4E9F">
        <w:rPr>
          <w:rStyle w:val="bzpyqfadein"/>
          <w:rFonts w:ascii="Times New Roman" w:hAnsi="Times New Roman" w:cs="Times New Roman"/>
        </w:rPr>
        <w:t>como la desclasificación de residuos y restricciones sanitarias que limitan ciertos flujos circulares. En las tres ciudades se observa una brecha entre la normativa existente y su aplicación práctica, así como la necesidad de mejorar la articulación institucional y las condiciones de mercado para facilitar la transición hacia modelos de economía circular.</w:t>
      </w:r>
    </w:p>
    <w:p w14:paraId="6C100CF6" w14:textId="2FB913D7" w:rsidR="00A0257A" w:rsidRPr="007F4E9F" w:rsidRDefault="00A0257A" w:rsidP="0032235A">
      <w:pPr>
        <w:jc w:val="both"/>
        <w:rPr>
          <w:rStyle w:val="bzpyqfadein"/>
          <w:rFonts w:ascii="Times New Roman" w:hAnsi="Times New Roman" w:cs="Times New Roman"/>
        </w:rPr>
      </w:pPr>
      <w:r w:rsidRPr="007F4E9F">
        <w:rPr>
          <w:rStyle w:val="bzpyqfadein"/>
          <w:rFonts w:ascii="Times New Roman" w:hAnsi="Times New Roman" w:cs="Times New Roman"/>
        </w:rPr>
        <w:t>La articulación institucional adolece de superposición de competencias en el nivel nacional, regional y local y limitaciones operativas en la implementación normativa que limitan la consolidación de mercados circulares</w:t>
      </w:r>
      <w:r w:rsidR="006872EA" w:rsidRPr="007F4E9F">
        <w:rPr>
          <w:rStyle w:val="bzpyqfadein"/>
          <w:rFonts w:ascii="Times New Roman" w:hAnsi="Times New Roman" w:cs="Times New Roman"/>
        </w:rPr>
        <w:t>.</w:t>
      </w:r>
    </w:p>
    <w:p w14:paraId="21049D48" w14:textId="2B639369" w:rsidR="00D13C3C" w:rsidRPr="007F4E9F" w:rsidRDefault="00D13C3C" w:rsidP="0032235A">
      <w:pPr>
        <w:pStyle w:val="Heading3"/>
        <w:jc w:val="both"/>
        <w:rPr>
          <w:rFonts w:ascii="Times New Roman" w:hAnsi="Times New Roman"/>
        </w:rPr>
      </w:pPr>
      <w:bookmarkStart w:id="106" w:name="_Toc226750219"/>
      <w:bookmarkEnd w:id="100"/>
      <w:r w:rsidRPr="007F4E9F">
        <w:rPr>
          <w:rFonts w:ascii="Times New Roman" w:hAnsi="Times New Roman"/>
        </w:rPr>
        <w:t>Coherencia</w:t>
      </w:r>
      <w:bookmarkEnd w:id="106"/>
      <w:r w:rsidRPr="007F4E9F">
        <w:rPr>
          <w:rFonts w:ascii="Times New Roman" w:hAnsi="Times New Roman"/>
        </w:rPr>
        <w:t xml:space="preserve"> </w:t>
      </w:r>
    </w:p>
    <w:p w14:paraId="49129A31" w14:textId="3362701C" w:rsidR="00D13C3C" w:rsidRPr="007F4E9F" w:rsidRDefault="00D13C3C" w:rsidP="0032235A">
      <w:pPr>
        <w:jc w:val="both"/>
        <w:rPr>
          <w:rFonts w:ascii="Times New Roman" w:hAnsi="Times New Roman" w:cs="Times New Roman"/>
        </w:rPr>
      </w:pPr>
      <w:r w:rsidRPr="007F4E9F">
        <w:rPr>
          <w:rFonts w:ascii="Times New Roman" w:hAnsi="Times New Roman" w:cs="Times New Roman"/>
        </w:rPr>
        <w:t>La evaluación de la coherencia tiene el propósito de avaluar si la intervención fue consistente y estuvo alineada con otras iniciativas similares y políticas de cada ciudad</w:t>
      </w:r>
      <w:r w:rsidR="001A6B5A" w:rsidRPr="007F4E9F">
        <w:rPr>
          <w:rFonts w:ascii="Times New Roman" w:hAnsi="Times New Roman" w:cs="Times New Roman"/>
        </w:rPr>
        <w:t xml:space="preserve">. Corresponde </w:t>
      </w:r>
      <w:r w:rsidR="001A6B5A" w:rsidRPr="007F4E9F">
        <w:rPr>
          <w:rFonts w:ascii="Times New Roman" w:hAnsi="Times New Roman" w:cs="Times New Roman"/>
          <w:b/>
          <w:bCs/>
        </w:rPr>
        <w:t>al análisis preliminar de la coherencia interna y externa del proyecto (alineaciones políticas, programas y prioridades regionales)</w:t>
      </w:r>
      <w:r w:rsidRPr="007F4E9F">
        <w:rPr>
          <w:rFonts w:ascii="Times New Roman" w:hAnsi="Times New Roman" w:cs="Times New Roman"/>
        </w:rPr>
        <w:t xml:space="preserve">. De acuerdo con la tabla 1, para la coherencia se verificaron dos alcances para cada componente: </w:t>
      </w:r>
    </w:p>
    <w:p w14:paraId="69B21BC5" w14:textId="77777777" w:rsidR="00D13C3C" w:rsidRPr="007F4E9F" w:rsidRDefault="00D13C3C" w:rsidP="005C3660">
      <w:pPr>
        <w:pStyle w:val="ListParagraph"/>
        <w:numPr>
          <w:ilvl w:val="0"/>
          <w:numId w:val="11"/>
        </w:numPr>
        <w:jc w:val="both"/>
        <w:rPr>
          <w:rFonts w:ascii="Times New Roman" w:hAnsi="Times New Roman" w:cs="Times New Roman"/>
        </w:rPr>
      </w:pPr>
      <w:r w:rsidRPr="007F4E9F">
        <w:rPr>
          <w:rFonts w:ascii="Times New Roman" w:hAnsi="Times New Roman" w:cs="Times New Roman"/>
        </w:rPr>
        <w:t>La evaluación del alineamiento entre los objetivos, actividades, productos y resultados y</w:t>
      </w:r>
    </w:p>
    <w:p w14:paraId="70E049D4" w14:textId="77777777" w:rsidR="00D13C3C" w:rsidRPr="007F4E9F" w:rsidRDefault="00D13C3C" w:rsidP="005C3660">
      <w:pPr>
        <w:pStyle w:val="ListParagraph"/>
        <w:numPr>
          <w:ilvl w:val="0"/>
          <w:numId w:val="10"/>
        </w:numPr>
        <w:jc w:val="both"/>
        <w:rPr>
          <w:rFonts w:ascii="Times New Roman" w:hAnsi="Times New Roman" w:cs="Times New Roman"/>
        </w:rPr>
      </w:pPr>
      <w:r w:rsidRPr="007F4E9F">
        <w:rPr>
          <w:rFonts w:ascii="Times New Roman" w:hAnsi="Times New Roman" w:cs="Times New Roman"/>
        </w:rPr>
        <w:t>Articulación entre los componentes y actores institucionales.</w:t>
      </w:r>
    </w:p>
    <w:p w14:paraId="677D2E1E" w14:textId="0A4C57B4" w:rsidR="00D13C3C" w:rsidRPr="007F4E9F" w:rsidRDefault="00D13C3C" w:rsidP="0032235A">
      <w:pPr>
        <w:pStyle w:val="Heading4"/>
        <w:jc w:val="both"/>
        <w:rPr>
          <w:rFonts w:ascii="Times New Roman" w:hAnsi="Times New Roman"/>
        </w:rPr>
      </w:pPr>
      <w:bookmarkStart w:id="107" w:name="_Toc226750220"/>
      <w:r w:rsidRPr="007F4E9F">
        <w:rPr>
          <w:rFonts w:ascii="Times New Roman" w:hAnsi="Times New Roman"/>
        </w:rPr>
        <w:t>Evaluación del alineamiento entre los objetivos, actividades, productos y resultados</w:t>
      </w:r>
      <w:bookmarkEnd w:id="107"/>
    </w:p>
    <w:p w14:paraId="63C607CA" w14:textId="3F25CB7E" w:rsidR="008C3F18" w:rsidRPr="007F4E9F" w:rsidRDefault="006374AC" w:rsidP="0032235A">
      <w:pPr>
        <w:jc w:val="both"/>
        <w:rPr>
          <w:rFonts w:ascii="Times New Roman" w:hAnsi="Times New Roman" w:cs="Times New Roman"/>
        </w:rPr>
      </w:pPr>
      <w:r w:rsidRPr="007F4E9F">
        <w:rPr>
          <w:rFonts w:ascii="Times New Roman" w:hAnsi="Times New Roman" w:cs="Times New Roman"/>
        </w:rPr>
        <w:t>El alineamiento se verifica fácilmente con la lectura de los 4 entregables de la consultoría y su coherencia en el diseño de la intervención al empezar con un análisis normativo por ciudad, identificar la orientación del marco regulatorio</w:t>
      </w:r>
      <w:r w:rsidR="00896792" w:rsidRPr="007F4E9F">
        <w:rPr>
          <w:rFonts w:ascii="Times New Roman" w:hAnsi="Times New Roman" w:cs="Times New Roman"/>
        </w:rPr>
        <w:t xml:space="preserve"> identificando</w:t>
      </w:r>
      <w:r w:rsidR="008C3F18" w:rsidRPr="007F4E9F">
        <w:rPr>
          <w:rFonts w:ascii="Times New Roman" w:hAnsi="Times New Roman" w:cs="Times New Roman"/>
        </w:rPr>
        <w:t>,</w:t>
      </w:r>
      <w:r w:rsidR="00896792" w:rsidRPr="007F4E9F">
        <w:rPr>
          <w:rFonts w:ascii="Times New Roman" w:hAnsi="Times New Roman" w:cs="Times New Roman"/>
        </w:rPr>
        <w:t xml:space="preserve"> las brechas y finalmente proponiendo estrategias de fortalecimiento</w:t>
      </w:r>
      <w:r w:rsidR="008C3F18" w:rsidRPr="007F4E9F">
        <w:rPr>
          <w:rFonts w:ascii="Times New Roman" w:hAnsi="Times New Roman" w:cs="Times New Roman"/>
        </w:rPr>
        <w:t xml:space="preserve"> generales</w:t>
      </w:r>
      <w:r w:rsidR="00896792" w:rsidRPr="007F4E9F">
        <w:rPr>
          <w:rFonts w:ascii="Times New Roman" w:hAnsi="Times New Roman" w:cs="Times New Roman"/>
        </w:rPr>
        <w:t>.</w:t>
      </w:r>
      <w:r w:rsidR="008C3F18" w:rsidRPr="007F4E9F">
        <w:rPr>
          <w:rFonts w:ascii="Times New Roman" w:hAnsi="Times New Roman" w:cs="Times New Roman"/>
        </w:rPr>
        <w:t xml:space="preserve"> P</w:t>
      </w:r>
      <w:r w:rsidRPr="007F4E9F">
        <w:rPr>
          <w:rFonts w:ascii="Times New Roman" w:eastAsia="Times New Roman" w:hAnsi="Times New Roman" w:cs="Times New Roman"/>
        </w:rPr>
        <w:t xml:space="preserve">ara recoger </w:t>
      </w:r>
      <w:r w:rsidR="008C3F18" w:rsidRPr="007F4E9F">
        <w:rPr>
          <w:rFonts w:ascii="Times New Roman" w:eastAsia="Times New Roman" w:hAnsi="Times New Roman" w:cs="Times New Roman"/>
        </w:rPr>
        <w:t xml:space="preserve">la coherencia entre los objetivos, actividades, productos y resultados de </w:t>
      </w:r>
      <w:r w:rsidRPr="007F4E9F">
        <w:rPr>
          <w:rFonts w:ascii="Times New Roman" w:eastAsia="Times New Roman" w:hAnsi="Times New Roman" w:cs="Times New Roman"/>
        </w:rPr>
        <w:t xml:space="preserve">los productos del componente 2, </w:t>
      </w:r>
      <w:r w:rsidR="00896792" w:rsidRPr="007F4E9F">
        <w:rPr>
          <w:rFonts w:ascii="Times New Roman" w:eastAsia="Times New Roman" w:hAnsi="Times New Roman" w:cs="Times New Roman"/>
        </w:rPr>
        <w:t>s</w:t>
      </w:r>
      <w:r w:rsidRPr="007F4E9F">
        <w:rPr>
          <w:rFonts w:ascii="Times New Roman" w:eastAsia="Times New Roman" w:hAnsi="Times New Roman" w:cs="Times New Roman"/>
        </w:rPr>
        <w:t xml:space="preserve">e presenta la tabla </w:t>
      </w:r>
      <w:r w:rsidR="00CA750E" w:rsidRPr="007F4E9F">
        <w:rPr>
          <w:rFonts w:ascii="Times New Roman" w:eastAsia="Times New Roman" w:hAnsi="Times New Roman" w:cs="Times New Roman"/>
        </w:rPr>
        <w:t>12</w:t>
      </w:r>
      <w:r w:rsidRPr="007F4E9F">
        <w:rPr>
          <w:rFonts w:ascii="Times New Roman" w:eastAsia="Times New Roman" w:hAnsi="Times New Roman" w:cs="Times New Roman"/>
        </w:rPr>
        <w:t xml:space="preserve"> </w:t>
      </w:r>
      <w:r w:rsidR="008C3F18" w:rsidRPr="007F4E9F">
        <w:rPr>
          <w:rFonts w:ascii="Times New Roman" w:eastAsia="Times New Roman" w:hAnsi="Times New Roman" w:cs="Times New Roman"/>
        </w:rPr>
        <w:t>como</w:t>
      </w:r>
      <w:r w:rsidRPr="007F4E9F">
        <w:rPr>
          <w:rFonts w:ascii="Times New Roman" w:hAnsi="Times New Roman" w:cs="Times New Roman"/>
        </w:rPr>
        <w:t xml:space="preserve"> una síntesis evaluativa de los cuatro productos</w:t>
      </w:r>
      <w:r w:rsidR="008C3F18" w:rsidRPr="007F4E9F">
        <w:rPr>
          <w:rFonts w:ascii="Times New Roman" w:hAnsi="Times New Roman" w:cs="Times New Roman"/>
        </w:rPr>
        <w:t xml:space="preserve">. </w:t>
      </w:r>
    </w:p>
    <w:p w14:paraId="7C3B0DA2" w14:textId="77290F5D" w:rsidR="00CA750E" w:rsidRPr="007F4E9F" w:rsidRDefault="00CA750E" w:rsidP="0032235A">
      <w:pPr>
        <w:pStyle w:val="Caption"/>
        <w:keepNext/>
        <w:jc w:val="both"/>
        <w:rPr>
          <w:rFonts w:ascii="Times New Roman" w:hAnsi="Times New Roman" w:cs="Times New Roman"/>
          <w:sz w:val="22"/>
          <w:szCs w:val="22"/>
        </w:rPr>
      </w:pPr>
      <w:bookmarkStart w:id="108" w:name="_Toc225848238"/>
      <w:r w:rsidRPr="007F4E9F">
        <w:rPr>
          <w:rFonts w:ascii="Times New Roman" w:hAnsi="Times New Roman" w:cs="Times New Roman"/>
          <w:sz w:val="22"/>
          <w:szCs w:val="22"/>
        </w:rPr>
        <w:t xml:space="preserve">Tabla </w:t>
      </w:r>
      <w:r w:rsidRPr="007F4E9F">
        <w:rPr>
          <w:rFonts w:ascii="Times New Roman" w:hAnsi="Times New Roman" w:cs="Times New Roman"/>
          <w:sz w:val="22"/>
          <w:szCs w:val="22"/>
        </w:rPr>
        <w:fldChar w:fldCharType="begin"/>
      </w:r>
      <w:r w:rsidRPr="007F4E9F">
        <w:rPr>
          <w:rFonts w:ascii="Times New Roman" w:hAnsi="Times New Roman" w:cs="Times New Roman"/>
          <w:sz w:val="22"/>
          <w:szCs w:val="22"/>
        </w:rPr>
        <w:instrText xml:space="preserve"> SEQ Tabla \* ARABIC </w:instrText>
      </w:r>
      <w:r w:rsidRPr="007F4E9F">
        <w:rPr>
          <w:rFonts w:ascii="Times New Roman" w:hAnsi="Times New Roman" w:cs="Times New Roman"/>
          <w:sz w:val="22"/>
          <w:szCs w:val="22"/>
        </w:rPr>
        <w:fldChar w:fldCharType="separate"/>
      </w:r>
      <w:r w:rsidR="00CB1A80" w:rsidRPr="007F4E9F">
        <w:rPr>
          <w:rFonts w:ascii="Times New Roman" w:hAnsi="Times New Roman" w:cs="Times New Roman"/>
          <w:noProof/>
          <w:sz w:val="22"/>
          <w:szCs w:val="22"/>
        </w:rPr>
        <w:t>12</w:t>
      </w:r>
      <w:r w:rsidRPr="007F4E9F">
        <w:rPr>
          <w:rFonts w:ascii="Times New Roman" w:hAnsi="Times New Roman" w:cs="Times New Roman"/>
          <w:sz w:val="22"/>
          <w:szCs w:val="22"/>
        </w:rPr>
        <w:fldChar w:fldCharType="end"/>
      </w:r>
      <w:r w:rsidRPr="007F4E9F">
        <w:rPr>
          <w:rFonts w:ascii="Times New Roman" w:hAnsi="Times New Roman" w:cs="Times New Roman"/>
          <w:sz w:val="22"/>
          <w:szCs w:val="22"/>
        </w:rPr>
        <w:t xml:space="preserve"> </w:t>
      </w:r>
      <w:r w:rsidRPr="007F4E9F">
        <w:rPr>
          <w:rFonts w:ascii="Times New Roman" w:hAnsi="Times New Roman" w:cs="Times New Roman"/>
          <w:i/>
          <w:iCs/>
          <w:sz w:val="22"/>
          <w:szCs w:val="22"/>
        </w:rPr>
        <w:t>Diagnóstico y fortalecimiento normativo</w:t>
      </w:r>
      <w:bookmarkEnd w:id="1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5675"/>
      </w:tblGrid>
      <w:tr w:rsidR="006374AC" w:rsidRPr="007F4E9F" w14:paraId="65FED31C" w14:textId="77777777" w:rsidTr="006374AC">
        <w:tc>
          <w:tcPr>
            <w:tcW w:w="1712" w:type="pct"/>
            <w:vAlign w:val="center"/>
          </w:tcPr>
          <w:p w14:paraId="6004D03C" w14:textId="77777777" w:rsidR="006374AC" w:rsidRPr="007F4E9F" w:rsidRDefault="006374AC" w:rsidP="0032235A">
            <w:pPr>
              <w:jc w:val="both"/>
              <w:rPr>
                <w:rFonts w:ascii="Times New Roman" w:hAnsi="Times New Roman" w:cs="Times New Roman"/>
                <w:b/>
                <w:bCs/>
              </w:rPr>
            </w:pPr>
            <w:r w:rsidRPr="007F4E9F">
              <w:rPr>
                <w:rFonts w:ascii="Times New Roman" w:hAnsi="Times New Roman" w:cs="Times New Roman"/>
                <w:b/>
                <w:bCs/>
              </w:rPr>
              <w:t>Producto</w:t>
            </w:r>
          </w:p>
        </w:tc>
        <w:tc>
          <w:tcPr>
            <w:tcW w:w="3288" w:type="pct"/>
            <w:vAlign w:val="center"/>
          </w:tcPr>
          <w:p w14:paraId="52F39743" w14:textId="77777777" w:rsidR="006374AC" w:rsidRPr="007F4E9F" w:rsidRDefault="006374AC" w:rsidP="0032235A">
            <w:pPr>
              <w:jc w:val="both"/>
              <w:rPr>
                <w:rFonts w:ascii="Times New Roman" w:hAnsi="Times New Roman" w:cs="Times New Roman"/>
                <w:b/>
                <w:bCs/>
              </w:rPr>
            </w:pPr>
            <w:r w:rsidRPr="007F4E9F">
              <w:rPr>
                <w:rFonts w:ascii="Times New Roman" w:hAnsi="Times New Roman" w:cs="Times New Roman"/>
                <w:b/>
                <w:bCs/>
              </w:rPr>
              <w:t>Justificación técnica</w:t>
            </w:r>
          </w:p>
        </w:tc>
      </w:tr>
      <w:tr w:rsidR="006374AC" w:rsidRPr="007F4E9F" w14:paraId="141C8D47" w14:textId="77777777" w:rsidTr="006374AC">
        <w:tc>
          <w:tcPr>
            <w:tcW w:w="1712" w:type="pct"/>
            <w:vAlign w:val="center"/>
          </w:tcPr>
          <w:p w14:paraId="7BF5B6FB" w14:textId="6843AD6C" w:rsidR="006374AC" w:rsidRPr="007F4E9F" w:rsidRDefault="006374AC" w:rsidP="0032235A">
            <w:pPr>
              <w:jc w:val="both"/>
              <w:rPr>
                <w:rFonts w:ascii="Times New Roman" w:hAnsi="Times New Roman" w:cs="Times New Roman"/>
              </w:rPr>
            </w:pPr>
            <w:r w:rsidRPr="007F4E9F">
              <w:rPr>
                <w:rFonts w:ascii="Times New Roman" w:hAnsi="Times New Roman" w:cs="Times New Roman"/>
              </w:rPr>
              <w:t xml:space="preserve">Producto 1. Esquema de gobernanza del </w:t>
            </w:r>
            <w:r w:rsidR="005E5CB3" w:rsidRPr="007F4E9F">
              <w:rPr>
                <w:rFonts w:ascii="Times New Roman" w:hAnsi="Times New Roman" w:cs="Times New Roman"/>
              </w:rPr>
              <w:t>Marketplace</w:t>
            </w:r>
            <w:r w:rsidRPr="007F4E9F">
              <w:rPr>
                <w:rFonts w:ascii="Times New Roman" w:hAnsi="Times New Roman" w:cs="Times New Roman"/>
              </w:rPr>
              <w:t xml:space="preserve"> de economía circular</w:t>
            </w:r>
          </w:p>
        </w:tc>
        <w:tc>
          <w:tcPr>
            <w:tcW w:w="3288" w:type="pct"/>
            <w:vAlign w:val="center"/>
          </w:tcPr>
          <w:p w14:paraId="01B83D83" w14:textId="1D3E69DA" w:rsidR="006374AC" w:rsidRPr="007F4E9F" w:rsidRDefault="006374AC" w:rsidP="0032235A">
            <w:pPr>
              <w:jc w:val="both"/>
              <w:rPr>
                <w:rFonts w:ascii="Times New Roman" w:hAnsi="Times New Roman" w:cs="Times New Roman"/>
              </w:rPr>
            </w:pPr>
            <w:r w:rsidRPr="007F4E9F">
              <w:rPr>
                <w:rFonts w:ascii="Times New Roman" w:hAnsi="Times New Roman" w:cs="Times New Roman"/>
              </w:rPr>
              <w:t xml:space="preserve">Presenta una propuesta estructurada </w:t>
            </w:r>
            <w:r w:rsidR="005E5CB3" w:rsidRPr="007F4E9F">
              <w:rPr>
                <w:rFonts w:ascii="Times New Roman" w:hAnsi="Times New Roman" w:cs="Times New Roman"/>
              </w:rPr>
              <w:t xml:space="preserve">de </w:t>
            </w:r>
            <w:r w:rsidRPr="007F4E9F">
              <w:rPr>
                <w:rFonts w:ascii="Times New Roman" w:hAnsi="Times New Roman" w:cs="Times New Roman"/>
              </w:rPr>
              <w:t>gobernanza</w:t>
            </w:r>
            <w:r w:rsidR="000133A6" w:rsidRPr="007F4E9F">
              <w:rPr>
                <w:rFonts w:ascii="Times New Roman" w:hAnsi="Times New Roman" w:cs="Times New Roman"/>
              </w:rPr>
              <w:t xml:space="preserve"> multinivel</w:t>
            </w:r>
            <w:r w:rsidR="005E5CB3" w:rsidRPr="007F4E9F">
              <w:rPr>
                <w:rFonts w:ascii="Times New Roman" w:hAnsi="Times New Roman" w:cs="Times New Roman"/>
              </w:rPr>
              <w:t xml:space="preserve"> (Estratégico, funcional y de gestión) </w:t>
            </w:r>
            <w:r w:rsidR="0047776C" w:rsidRPr="007F4E9F">
              <w:rPr>
                <w:rFonts w:ascii="Times New Roman" w:hAnsi="Times New Roman" w:cs="Times New Roman"/>
              </w:rPr>
              <w:t xml:space="preserve">multiescala </w:t>
            </w:r>
            <w:r w:rsidR="005E5CB3" w:rsidRPr="007F4E9F">
              <w:rPr>
                <w:rFonts w:ascii="Times New Roman" w:hAnsi="Times New Roman" w:cs="Times New Roman"/>
              </w:rPr>
              <w:t>(regional, local y digital) con sus respectivos mecanismos de coordinación</w:t>
            </w:r>
            <w:r w:rsidR="0047776C" w:rsidRPr="007F4E9F">
              <w:rPr>
                <w:rFonts w:ascii="Times New Roman" w:hAnsi="Times New Roman" w:cs="Times New Roman"/>
              </w:rPr>
              <w:t xml:space="preserve"> (planeación y funcionamiento, operación, y sostenibilidad, seguimiento control y </w:t>
            </w:r>
            <w:r w:rsidR="003E2785" w:rsidRPr="007F4E9F">
              <w:rPr>
                <w:rFonts w:ascii="Times New Roman" w:hAnsi="Times New Roman" w:cs="Times New Roman"/>
              </w:rPr>
              <w:t>comunicación</w:t>
            </w:r>
            <w:r w:rsidR="0047776C" w:rsidRPr="007F4E9F">
              <w:rPr>
                <w:rFonts w:ascii="Times New Roman" w:hAnsi="Times New Roman" w:cs="Times New Roman"/>
              </w:rPr>
              <w:t>)</w:t>
            </w:r>
            <w:r w:rsidR="005E5CB3" w:rsidRPr="007F4E9F">
              <w:rPr>
                <w:rFonts w:ascii="Times New Roman" w:hAnsi="Times New Roman" w:cs="Times New Roman"/>
              </w:rPr>
              <w:t xml:space="preserve"> y una estrategia de sostenibilidad</w:t>
            </w:r>
            <w:r w:rsidR="0047776C" w:rsidRPr="007F4E9F">
              <w:rPr>
                <w:rFonts w:ascii="Times New Roman" w:hAnsi="Times New Roman" w:cs="Times New Roman"/>
              </w:rPr>
              <w:t>.</w:t>
            </w:r>
          </w:p>
        </w:tc>
      </w:tr>
      <w:tr w:rsidR="006374AC" w:rsidRPr="007F4E9F" w14:paraId="64EBD610" w14:textId="77777777" w:rsidTr="006374AC">
        <w:tc>
          <w:tcPr>
            <w:tcW w:w="1712" w:type="pct"/>
            <w:vAlign w:val="center"/>
          </w:tcPr>
          <w:p w14:paraId="2664A999" w14:textId="77777777" w:rsidR="006374AC" w:rsidRPr="007F4E9F" w:rsidRDefault="006374AC" w:rsidP="0032235A">
            <w:pPr>
              <w:jc w:val="both"/>
              <w:rPr>
                <w:rFonts w:ascii="Times New Roman" w:hAnsi="Times New Roman" w:cs="Times New Roman"/>
              </w:rPr>
            </w:pPr>
            <w:r w:rsidRPr="007F4E9F">
              <w:rPr>
                <w:rFonts w:ascii="Times New Roman" w:hAnsi="Times New Roman" w:cs="Times New Roman"/>
              </w:rPr>
              <w:t>Producto 2. Análisis normativo e institucional comparado</w:t>
            </w:r>
          </w:p>
        </w:tc>
        <w:tc>
          <w:tcPr>
            <w:tcW w:w="3288" w:type="pct"/>
            <w:vAlign w:val="center"/>
          </w:tcPr>
          <w:p w14:paraId="52320B64" w14:textId="52D7887C" w:rsidR="006374AC" w:rsidRPr="007F4E9F" w:rsidRDefault="006374AC" w:rsidP="0032235A">
            <w:pPr>
              <w:jc w:val="both"/>
              <w:rPr>
                <w:rFonts w:ascii="Times New Roman" w:hAnsi="Times New Roman" w:cs="Times New Roman"/>
              </w:rPr>
            </w:pPr>
            <w:r w:rsidRPr="007F4E9F">
              <w:rPr>
                <w:rFonts w:ascii="Times New Roman" w:hAnsi="Times New Roman" w:cs="Times New Roman"/>
              </w:rPr>
              <w:t>Incluye un análisis normativo relevante y bien documentado</w:t>
            </w:r>
            <w:r w:rsidR="00631E3D" w:rsidRPr="007F4E9F">
              <w:rPr>
                <w:rFonts w:ascii="Times New Roman" w:hAnsi="Times New Roman" w:cs="Times New Roman"/>
              </w:rPr>
              <w:t>. Se identifican brechas y oportunidades para el fortalecimiento del marco regulatorio que habilite los negocios circulares y la plataforma regional de economía circular</w:t>
            </w:r>
          </w:p>
        </w:tc>
      </w:tr>
      <w:tr w:rsidR="006374AC" w:rsidRPr="007F4E9F" w14:paraId="7A0BBC3A" w14:textId="77777777" w:rsidTr="006374AC">
        <w:tc>
          <w:tcPr>
            <w:tcW w:w="1712" w:type="pct"/>
            <w:vAlign w:val="center"/>
          </w:tcPr>
          <w:p w14:paraId="468022BE" w14:textId="77777777" w:rsidR="006374AC" w:rsidRPr="007F4E9F" w:rsidRDefault="006374AC" w:rsidP="0032235A">
            <w:pPr>
              <w:jc w:val="both"/>
              <w:rPr>
                <w:rFonts w:ascii="Times New Roman" w:hAnsi="Times New Roman" w:cs="Times New Roman"/>
              </w:rPr>
            </w:pPr>
            <w:r w:rsidRPr="007F4E9F">
              <w:rPr>
                <w:rFonts w:ascii="Times New Roman" w:hAnsi="Times New Roman" w:cs="Times New Roman"/>
              </w:rPr>
              <w:t>Producto 3. Informe de validación participativa</w:t>
            </w:r>
          </w:p>
        </w:tc>
        <w:tc>
          <w:tcPr>
            <w:tcW w:w="3288" w:type="pct"/>
            <w:vAlign w:val="center"/>
          </w:tcPr>
          <w:p w14:paraId="6B56BFDF" w14:textId="4D4B822D" w:rsidR="006374AC" w:rsidRPr="007F4E9F" w:rsidRDefault="006374AC" w:rsidP="0032235A">
            <w:pPr>
              <w:jc w:val="both"/>
              <w:rPr>
                <w:rFonts w:ascii="Times New Roman" w:hAnsi="Times New Roman" w:cs="Times New Roman"/>
              </w:rPr>
            </w:pPr>
            <w:r w:rsidRPr="007F4E9F">
              <w:rPr>
                <w:rFonts w:ascii="Times New Roman" w:hAnsi="Times New Roman" w:cs="Times New Roman"/>
              </w:rPr>
              <w:t>Se evidencia la realización de procesos participativos y aprendizajes relevantes, con soportes documentales en tres ciudades</w:t>
            </w:r>
            <w:r w:rsidR="0047776C" w:rsidRPr="007F4E9F">
              <w:rPr>
                <w:rFonts w:ascii="Times New Roman" w:hAnsi="Times New Roman" w:cs="Times New Roman"/>
              </w:rPr>
              <w:t xml:space="preserve"> (Bogotá; Santiago de chile y Quito) que incluyen webinars, visitas técnicas y mesas de trabajo</w:t>
            </w:r>
            <w:r w:rsidRPr="007F4E9F">
              <w:rPr>
                <w:rFonts w:ascii="Times New Roman" w:hAnsi="Times New Roman" w:cs="Times New Roman"/>
              </w:rPr>
              <w:t xml:space="preserve">. </w:t>
            </w:r>
            <w:r w:rsidR="00631E3D" w:rsidRPr="007F4E9F">
              <w:rPr>
                <w:rFonts w:ascii="Times New Roman" w:hAnsi="Times New Roman" w:cs="Times New Roman"/>
              </w:rPr>
              <w:t xml:space="preserve"> Se documentan las percepciones y aportes de los actores frente al modelo de gobernanza y el análisis normativo</w:t>
            </w:r>
            <w:r w:rsidR="005B2D5A" w:rsidRPr="007F4E9F">
              <w:rPr>
                <w:rFonts w:ascii="Times New Roman" w:hAnsi="Times New Roman" w:cs="Times New Roman"/>
              </w:rPr>
              <w:t>.</w:t>
            </w:r>
          </w:p>
        </w:tc>
      </w:tr>
      <w:tr w:rsidR="006374AC" w:rsidRPr="007F4E9F" w14:paraId="49189C49" w14:textId="77777777" w:rsidTr="006374AC">
        <w:tc>
          <w:tcPr>
            <w:tcW w:w="1712" w:type="pct"/>
            <w:vAlign w:val="center"/>
          </w:tcPr>
          <w:p w14:paraId="2F4104C4" w14:textId="77777777" w:rsidR="006374AC" w:rsidRPr="007F4E9F" w:rsidRDefault="006374AC" w:rsidP="0032235A">
            <w:pPr>
              <w:jc w:val="both"/>
              <w:rPr>
                <w:rFonts w:ascii="Times New Roman" w:hAnsi="Times New Roman" w:cs="Times New Roman"/>
              </w:rPr>
            </w:pPr>
            <w:r w:rsidRPr="007F4E9F">
              <w:rPr>
                <w:rFonts w:ascii="Times New Roman" w:hAnsi="Times New Roman" w:cs="Times New Roman"/>
              </w:rPr>
              <w:t>Producto 4. Informe final del Componente 2</w:t>
            </w:r>
          </w:p>
        </w:tc>
        <w:tc>
          <w:tcPr>
            <w:tcW w:w="3288" w:type="pct"/>
            <w:vAlign w:val="center"/>
          </w:tcPr>
          <w:p w14:paraId="539653C5" w14:textId="30FE9AEC" w:rsidR="006374AC" w:rsidRPr="007F4E9F" w:rsidRDefault="006374AC" w:rsidP="0032235A">
            <w:pPr>
              <w:jc w:val="both"/>
              <w:rPr>
                <w:rFonts w:ascii="Times New Roman" w:hAnsi="Times New Roman" w:cs="Times New Roman"/>
              </w:rPr>
            </w:pPr>
            <w:r w:rsidRPr="007F4E9F">
              <w:rPr>
                <w:rFonts w:ascii="Times New Roman" w:hAnsi="Times New Roman" w:cs="Times New Roman"/>
              </w:rPr>
              <w:t>Documento consolidado y técnicamente sólido, orientado a la toma de decisiones</w:t>
            </w:r>
            <w:r w:rsidR="0047776C" w:rsidRPr="007F4E9F">
              <w:rPr>
                <w:rFonts w:ascii="Times New Roman" w:hAnsi="Times New Roman" w:cs="Times New Roman"/>
              </w:rPr>
              <w:t xml:space="preserve"> que recoge todas las observaciones y realiza los ajustes </w:t>
            </w:r>
            <w:r w:rsidR="00935126" w:rsidRPr="007F4E9F">
              <w:rPr>
                <w:rFonts w:ascii="Times New Roman" w:hAnsi="Times New Roman" w:cs="Times New Roman"/>
              </w:rPr>
              <w:t xml:space="preserve">recibidos en los espacios participativos, en lo </w:t>
            </w:r>
            <w:r w:rsidR="0047776C" w:rsidRPr="007F4E9F">
              <w:rPr>
                <w:rFonts w:ascii="Times New Roman" w:hAnsi="Times New Roman" w:cs="Times New Roman"/>
              </w:rPr>
              <w:t>referente al modelo de gobe</w:t>
            </w:r>
            <w:r w:rsidR="00935126" w:rsidRPr="007F4E9F">
              <w:rPr>
                <w:rFonts w:ascii="Times New Roman" w:hAnsi="Times New Roman" w:cs="Times New Roman"/>
              </w:rPr>
              <w:t>r</w:t>
            </w:r>
            <w:r w:rsidR="0047776C" w:rsidRPr="007F4E9F">
              <w:rPr>
                <w:rFonts w:ascii="Times New Roman" w:hAnsi="Times New Roman" w:cs="Times New Roman"/>
              </w:rPr>
              <w:t xml:space="preserve">nanza, </w:t>
            </w:r>
            <w:r w:rsidR="00935126" w:rsidRPr="007F4E9F">
              <w:rPr>
                <w:rFonts w:ascii="Times New Roman" w:hAnsi="Times New Roman" w:cs="Times New Roman"/>
              </w:rPr>
              <w:t>el análisis normativo y entrega una hoja de ruta para el fortalecimiento normativo con las respectivas conclusiones y recomendaciones del ejercicio.</w:t>
            </w:r>
          </w:p>
        </w:tc>
      </w:tr>
    </w:tbl>
    <w:p w14:paraId="44FBE919" w14:textId="77777777" w:rsidR="006A6983" w:rsidRPr="007F4E9F" w:rsidRDefault="006A6983" w:rsidP="006A6983">
      <w:pPr>
        <w:pStyle w:val="Bibliography"/>
        <w:ind w:left="720" w:hanging="720"/>
        <w:rPr>
          <w:rFonts w:ascii="Times New Roman" w:hAnsi="Times New Roman"/>
          <w:noProof/>
          <w:lang w:val="es-ES"/>
        </w:rPr>
      </w:pPr>
      <w:r w:rsidRPr="007F4E9F">
        <w:rPr>
          <w:rFonts w:ascii="Times New Roman" w:hAnsi="Times New Roman"/>
        </w:rPr>
        <w:t xml:space="preserve">Fuente: Elaboración propia basada en </w:t>
      </w:r>
      <w:r w:rsidRPr="007F4E9F">
        <w:rPr>
          <w:rFonts w:ascii="Times New Roman" w:hAnsi="Times New Roman"/>
          <w:noProof/>
          <w:lang w:val="es-ES"/>
        </w:rPr>
        <w:t xml:space="preserve">ICLEI, &amp; ACODAL. (2025) </w:t>
      </w:r>
    </w:p>
    <w:p w14:paraId="3562B357" w14:textId="6F1B5E27" w:rsidR="006374AC" w:rsidRPr="007F4E9F" w:rsidRDefault="00935126" w:rsidP="0032235A">
      <w:pPr>
        <w:jc w:val="both"/>
        <w:rPr>
          <w:rFonts w:ascii="Times New Roman" w:hAnsi="Times New Roman" w:cs="Times New Roman"/>
        </w:rPr>
      </w:pPr>
      <w:r w:rsidRPr="007F4E9F">
        <w:rPr>
          <w:rFonts w:ascii="Times New Roman" w:eastAsia="Times New Roman" w:hAnsi="Times New Roman" w:cs="Times New Roman"/>
        </w:rPr>
        <w:t>Los productos tienen una coherencia interna al identificar inicialmente los actores y diseñar un modelo de gobernanza con diferentes mecanismos de coordinación para su articulación efectiva; Posteriormente realiza un análisis normativo y de política pública para definir las prioridades locales y regionales frente a los sectores priorizados; identifica zonas grises, Posteriormente valida colaborativamente los dos estudios (Gobernanza y análisis normativo) y plantea estrategias de fortalecimiento recogiendo los insumos de la validación. Finalmente presenta una coherencia externa al profundizar en la intensidad normativa y su nivel de obligatoriedad y las brechas de implementación en cada ciudad beneficiaria</w:t>
      </w:r>
      <w:r w:rsidR="004023F9" w:rsidRPr="007F4E9F">
        <w:rPr>
          <w:rFonts w:ascii="Times New Roman" w:eastAsia="Times New Roman" w:hAnsi="Times New Roman" w:cs="Times New Roman"/>
        </w:rPr>
        <w:t xml:space="preserve"> que </w:t>
      </w:r>
      <w:r w:rsidR="00BD1066" w:rsidRPr="007F4E9F">
        <w:rPr>
          <w:rFonts w:ascii="Times New Roman" w:eastAsia="Times New Roman" w:hAnsi="Times New Roman" w:cs="Times New Roman"/>
        </w:rPr>
        <w:t>continúa</w:t>
      </w:r>
      <w:r w:rsidR="004023F9" w:rsidRPr="007F4E9F">
        <w:rPr>
          <w:rFonts w:ascii="Times New Roman" w:eastAsia="Times New Roman" w:hAnsi="Times New Roman" w:cs="Times New Roman"/>
        </w:rPr>
        <w:t xml:space="preserve"> vinculada al proyecto (</w:t>
      </w:r>
      <w:r w:rsidR="003E2785" w:rsidRPr="007F4E9F">
        <w:rPr>
          <w:rFonts w:ascii="Times New Roman" w:eastAsia="Times New Roman" w:hAnsi="Times New Roman" w:cs="Times New Roman"/>
        </w:rPr>
        <w:t>Bogotá</w:t>
      </w:r>
      <w:r w:rsidR="004023F9" w:rsidRPr="007F4E9F">
        <w:rPr>
          <w:rFonts w:ascii="Times New Roman" w:eastAsia="Times New Roman" w:hAnsi="Times New Roman" w:cs="Times New Roman"/>
        </w:rPr>
        <w:t>, Santiago de chile y Quito)</w:t>
      </w:r>
      <w:r w:rsidR="008B1E80" w:rsidRPr="007F4E9F">
        <w:rPr>
          <w:rFonts w:ascii="Times New Roman" w:eastAsia="Times New Roman" w:hAnsi="Times New Roman" w:cs="Times New Roman"/>
        </w:rPr>
        <w:t xml:space="preserve"> </w:t>
      </w:r>
      <w:r w:rsidR="008B1E80" w:rsidRPr="007F4E9F">
        <w:rPr>
          <w:rStyle w:val="bzpyqfadein"/>
        </w:rPr>
        <w:t>(</w:t>
      </w:r>
      <w:r w:rsidR="008B1E80" w:rsidRPr="007F4E9F">
        <w:rPr>
          <w:rFonts w:ascii="Times New Roman" w:hAnsi="Times New Roman"/>
          <w:noProof/>
          <w:lang w:val="es-ES"/>
        </w:rPr>
        <w:t>ICLEI, &amp; ACODAL</w:t>
      </w:r>
      <w:r w:rsidR="008B1E80" w:rsidRPr="007F4E9F">
        <w:rPr>
          <w:noProof/>
          <w:lang w:val="es-ES"/>
        </w:rPr>
        <w:t>, 2025a, 2025b, 2025c, 2025d).</w:t>
      </w:r>
    </w:p>
    <w:p w14:paraId="1A65BA1B" w14:textId="32B4F80C" w:rsidR="00D13C3C" w:rsidRPr="007F4E9F" w:rsidRDefault="00D13C3C" w:rsidP="0032235A">
      <w:pPr>
        <w:pStyle w:val="Heading4"/>
        <w:jc w:val="both"/>
        <w:rPr>
          <w:rFonts w:ascii="Times New Roman" w:hAnsi="Times New Roman"/>
        </w:rPr>
      </w:pPr>
      <w:bookmarkStart w:id="109" w:name="_Toc226750221"/>
      <w:r w:rsidRPr="007F4E9F">
        <w:rPr>
          <w:rFonts w:ascii="Times New Roman" w:hAnsi="Times New Roman"/>
        </w:rPr>
        <w:t>Articulación entre los componentes y actores institucionales</w:t>
      </w:r>
      <w:bookmarkEnd w:id="109"/>
    </w:p>
    <w:p w14:paraId="639CAC83" w14:textId="67C5BF4B" w:rsidR="00496C94" w:rsidRPr="007F4E9F" w:rsidRDefault="00BD1066" w:rsidP="0032235A">
      <w:pPr>
        <w:jc w:val="both"/>
        <w:rPr>
          <w:rFonts w:ascii="Times New Roman" w:hAnsi="Times New Roman" w:cs="Times New Roman"/>
        </w:rPr>
      </w:pPr>
      <w:r w:rsidRPr="007F4E9F">
        <w:rPr>
          <w:rFonts w:ascii="Times New Roman" w:hAnsi="Times New Roman" w:cs="Times New Roman"/>
        </w:rPr>
        <w:t>La articulación de los componentes es transparente al definir en primera medida una identificación exhaustiva de actores y proponer una estructura de gobernanza para la plataforma. Esto muestra la articulación intencional entre los productos y resultados del componente 1(Plataforma digital) y el componente 2 (Fortalecimiento normativo).</w:t>
      </w:r>
    </w:p>
    <w:p w14:paraId="28487C09" w14:textId="202D2B0A" w:rsidR="00BD1066" w:rsidRPr="007F4E9F" w:rsidRDefault="00BD1066" w:rsidP="0032235A">
      <w:pPr>
        <w:jc w:val="both"/>
        <w:rPr>
          <w:rFonts w:ascii="Times New Roman" w:hAnsi="Times New Roman" w:cs="Times New Roman"/>
        </w:rPr>
      </w:pPr>
      <w:r w:rsidRPr="007F4E9F">
        <w:rPr>
          <w:rFonts w:ascii="Times New Roman" w:hAnsi="Times New Roman" w:cs="Times New Roman"/>
        </w:rPr>
        <w:t>Como ya se ha dicho, el modelo de gobernanza multinivel, multiescala y mutiactor favorece la articulación institucional soportada en sus mecanismos de coordinación</w:t>
      </w:r>
      <w:r w:rsidR="00107133" w:rsidRPr="007F4E9F">
        <w:rPr>
          <w:rFonts w:ascii="Times New Roman" w:hAnsi="Times New Roman" w:cs="Times New Roman"/>
        </w:rPr>
        <w:t xml:space="preserve">. </w:t>
      </w:r>
      <w:r w:rsidR="004A1E5F" w:rsidRPr="007F4E9F">
        <w:rPr>
          <w:rFonts w:ascii="Times New Roman" w:hAnsi="Times New Roman" w:cs="Times New Roman"/>
        </w:rPr>
        <w:t xml:space="preserve">Para este fin, el informe de análisis normativo presenta un capítulo completo de estrategias de articulación institucional y cooperación regional que buscan generar </w:t>
      </w:r>
      <w:r w:rsidR="002523A7" w:rsidRPr="007F4E9F">
        <w:rPr>
          <w:rFonts w:ascii="Times New Roman" w:hAnsi="Times New Roman" w:cs="Times New Roman"/>
        </w:rPr>
        <w:t>l</w:t>
      </w:r>
      <w:r w:rsidR="004A1E5F" w:rsidRPr="007F4E9F">
        <w:rPr>
          <w:rFonts w:ascii="Times New Roman" w:hAnsi="Times New Roman" w:cs="Times New Roman"/>
        </w:rPr>
        <w:t>os espacios de alineación y coherencia en los diferentes niveles de la ciudad</w:t>
      </w:r>
      <w:r w:rsidR="002523A7" w:rsidRPr="007F4E9F">
        <w:rPr>
          <w:rFonts w:ascii="Times New Roman" w:hAnsi="Times New Roman" w:cs="Times New Roman"/>
        </w:rPr>
        <w:t xml:space="preserve"> para facilitar la implementación de la economía circular. </w:t>
      </w:r>
    </w:p>
    <w:p w14:paraId="7FD8EC7B" w14:textId="2996F015" w:rsidR="002523A7" w:rsidRPr="007F4E9F" w:rsidRDefault="00B22086" w:rsidP="0032235A">
      <w:pPr>
        <w:jc w:val="both"/>
        <w:rPr>
          <w:rFonts w:ascii="Times New Roman" w:hAnsi="Times New Roman" w:cs="Times New Roman"/>
        </w:rPr>
      </w:pPr>
      <w:r w:rsidRPr="007F4E9F">
        <w:rPr>
          <w:rFonts w:ascii="Times New Roman" w:hAnsi="Times New Roman" w:cs="Times New Roman"/>
        </w:rPr>
        <w:t>Para crear un marco habilitante regional para la economía circular es crucial e</w:t>
      </w:r>
      <w:r w:rsidR="002523A7" w:rsidRPr="007F4E9F">
        <w:rPr>
          <w:rFonts w:ascii="Times New Roman" w:hAnsi="Times New Roman" w:cs="Times New Roman"/>
        </w:rPr>
        <w:t>l reconocimiento de iniciativas regionales</w:t>
      </w:r>
      <w:r w:rsidRPr="007F4E9F">
        <w:rPr>
          <w:rFonts w:ascii="Times New Roman" w:hAnsi="Times New Roman" w:cs="Times New Roman"/>
        </w:rPr>
        <w:t xml:space="preserve"> con prioridades pertinentes a las cuatro ciudades </w:t>
      </w:r>
      <w:r w:rsidR="002523A7" w:rsidRPr="007F4E9F">
        <w:rPr>
          <w:rFonts w:ascii="Times New Roman" w:hAnsi="Times New Roman" w:cs="Times New Roman"/>
        </w:rPr>
        <w:t xml:space="preserve">como la Alianza Ambiental de América (ecoetiquetado y declaraciones </w:t>
      </w:r>
      <w:r w:rsidRPr="007F4E9F">
        <w:rPr>
          <w:rFonts w:ascii="Times New Roman" w:hAnsi="Times New Roman" w:cs="Times New Roman"/>
        </w:rPr>
        <w:t>ambientales)</w:t>
      </w:r>
      <w:r w:rsidR="002523A7" w:rsidRPr="007F4E9F">
        <w:rPr>
          <w:rFonts w:ascii="Times New Roman" w:hAnsi="Times New Roman" w:cs="Times New Roman"/>
        </w:rPr>
        <w:t>, La Alianza del Pacífico (gestión sostenible del plástico)</w:t>
      </w:r>
      <w:r w:rsidR="000D12CB" w:rsidRPr="007F4E9F">
        <w:rPr>
          <w:rFonts w:ascii="Times New Roman" w:hAnsi="Times New Roman" w:cs="Times New Roman"/>
        </w:rPr>
        <w:t>, LatitudR (reciclaje inclusivo), la Coalición de Economía Circular (visión compartida</w:t>
      </w:r>
      <w:r w:rsidR="00F4745D" w:rsidRPr="007F4E9F">
        <w:rPr>
          <w:rFonts w:ascii="Times New Roman" w:hAnsi="Times New Roman" w:cs="Times New Roman"/>
        </w:rPr>
        <w:t xml:space="preserve"> en economía circular</w:t>
      </w:r>
      <w:r w:rsidR="000D12CB" w:rsidRPr="007F4E9F">
        <w:rPr>
          <w:rFonts w:ascii="Times New Roman" w:hAnsi="Times New Roman" w:cs="Times New Roman"/>
        </w:rPr>
        <w:t>)</w:t>
      </w:r>
      <w:r w:rsidRPr="007F4E9F">
        <w:rPr>
          <w:rFonts w:ascii="Times New Roman" w:hAnsi="Times New Roman" w:cs="Times New Roman"/>
        </w:rPr>
        <w:t>. Adicionalmente se vuelven habilitantes las estrategias de coordinación local, nacional y regional que vinculen a los actores clave</w:t>
      </w:r>
      <w:r w:rsidR="00F4745D" w:rsidRPr="007F4E9F">
        <w:rPr>
          <w:rFonts w:ascii="Times New Roman" w:hAnsi="Times New Roman" w:cs="Times New Roman"/>
        </w:rPr>
        <w:t xml:space="preserve"> y</w:t>
      </w:r>
      <w:r w:rsidRPr="007F4E9F">
        <w:rPr>
          <w:rFonts w:ascii="Times New Roman" w:hAnsi="Times New Roman" w:cs="Times New Roman"/>
        </w:rPr>
        <w:t xml:space="preserve"> cree</w:t>
      </w:r>
      <w:r w:rsidR="00F4745D" w:rsidRPr="007F4E9F">
        <w:rPr>
          <w:rFonts w:ascii="Times New Roman" w:hAnsi="Times New Roman" w:cs="Times New Roman"/>
        </w:rPr>
        <w:t>n</w:t>
      </w:r>
      <w:r w:rsidRPr="007F4E9F">
        <w:rPr>
          <w:rFonts w:ascii="Times New Roman" w:hAnsi="Times New Roman" w:cs="Times New Roman"/>
        </w:rPr>
        <w:t xml:space="preserve"> marcos de tiempo y de confianza</w:t>
      </w:r>
      <w:r w:rsidR="00F4745D" w:rsidRPr="007F4E9F">
        <w:rPr>
          <w:rFonts w:ascii="Times New Roman" w:hAnsi="Times New Roman" w:cs="Times New Roman"/>
        </w:rPr>
        <w:t>,</w:t>
      </w:r>
      <w:r w:rsidRPr="007F4E9F">
        <w:rPr>
          <w:rFonts w:ascii="Times New Roman" w:hAnsi="Times New Roman" w:cs="Times New Roman"/>
        </w:rPr>
        <w:t xml:space="preserve"> para la implementación de acciones alineadas en hojas de ruta</w:t>
      </w:r>
      <w:r w:rsidR="00F4745D" w:rsidRPr="007F4E9F">
        <w:rPr>
          <w:rFonts w:ascii="Times New Roman" w:hAnsi="Times New Roman" w:cs="Times New Roman"/>
        </w:rPr>
        <w:t>,</w:t>
      </w:r>
      <w:r w:rsidRPr="007F4E9F">
        <w:rPr>
          <w:rFonts w:ascii="Times New Roman" w:hAnsi="Times New Roman" w:cs="Times New Roman"/>
        </w:rPr>
        <w:t xml:space="preserve"> que respeten la autonomía de cada ciudad pero que tengan una mirada regional</w:t>
      </w:r>
      <w:r w:rsidR="00AC783E" w:rsidRPr="007F4E9F">
        <w:rPr>
          <w:rFonts w:ascii="Times New Roman" w:hAnsi="Times New Roman" w:cs="Times New Roman"/>
        </w:rPr>
        <w:t xml:space="preserve"> </w:t>
      </w:r>
      <w:r w:rsidR="00EF0AD4" w:rsidRPr="007F4E9F">
        <w:rPr>
          <w:rFonts w:ascii="Times New Roman" w:eastAsia="Times New Roman" w:hAnsi="Times New Roman" w:cs="Times New Roman"/>
        </w:rPr>
        <w:t>(</w:t>
      </w:r>
      <w:r w:rsidR="00EF0AD4" w:rsidRPr="007F4E9F">
        <w:rPr>
          <w:rStyle w:val="bzpyqfadein"/>
        </w:rPr>
        <w:t>(</w:t>
      </w:r>
      <w:r w:rsidR="00EF0AD4" w:rsidRPr="007F4E9F">
        <w:rPr>
          <w:rFonts w:ascii="Times New Roman" w:hAnsi="Times New Roman"/>
          <w:noProof/>
          <w:lang w:val="es-ES"/>
        </w:rPr>
        <w:t>ICLEI, &amp; ACODAL</w:t>
      </w:r>
      <w:r w:rsidR="00EF0AD4" w:rsidRPr="007F4E9F">
        <w:rPr>
          <w:noProof/>
          <w:lang w:val="es-ES"/>
        </w:rPr>
        <w:t>, 2025a, 2025b, 2025c, 2025d).</w:t>
      </w:r>
    </w:p>
    <w:p w14:paraId="09FCA990" w14:textId="517F0E32" w:rsidR="00D13C3C" w:rsidRPr="007F4E9F" w:rsidRDefault="006A4A26" w:rsidP="00AC783E">
      <w:pPr>
        <w:spacing w:after="240"/>
        <w:jc w:val="both"/>
        <w:rPr>
          <w:rFonts w:ascii="Times New Roman" w:hAnsi="Times New Roman"/>
        </w:rPr>
      </w:pPr>
      <w:r w:rsidRPr="007F4E9F">
        <w:rPr>
          <w:rFonts w:ascii="Times New Roman" w:hAnsi="Times New Roman" w:cs="Times New Roman"/>
        </w:rPr>
        <w:t xml:space="preserve">Por otra parte, dado que la plataforma regional de economía circular es un activo </w:t>
      </w:r>
      <w:r w:rsidR="00AC783E" w:rsidRPr="007F4E9F">
        <w:rPr>
          <w:rFonts w:ascii="Times New Roman" w:hAnsi="Times New Roman" w:cs="Times New Roman"/>
        </w:rPr>
        <w:t>muticiudad</w:t>
      </w:r>
      <w:r w:rsidRPr="007F4E9F">
        <w:rPr>
          <w:rFonts w:ascii="Times New Roman" w:hAnsi="Times New Roman" w:cs="Times New Roman"/>
        </w:rPr>
        <w:t>, es fundamental la alineación normativa</w:t>
      </w:r>
      <w:r w:rsidR="00F4745D" w:rsidRPr="007F4E9F">
        <w:rPr>
          <w:rFonts w:ascii="Times New Roman" w:hAnsi="Times New Roman" w:cs="Times New Roman"/>
        </w:rPr>
        <w:t>, al menos de los sectores priorizados</w:t>
      </w:r>
      <w:r w:rsidRPr="007F4E9F">
        <w:rPr>
          <w:rFonts w:ascii="Times New Roman" w:hAnsi="Times New Roman" w:cs="Times New Roman"/>
        </w:rPr>
        <w:t xml:space="preserve"> y las estrategias de colaboración entre ciudades a través de la plataforma, como acuerdos de innovación, mesas sectoriales, sistemas de información compartidos, índices de circularidad y el desarrollo de capacidades en los consumidores para </w:t>
      </w:r>
      <w:r w:rsidR="00F4745D" w:rsidRPr="007F4E9F">
        <w:rPr>
          <w:rFonts w:ascii="Times New Roman" w:hAnsi="Times New Roman" w:cs="Times New Roman"/>
        </w:rPr>
        <w:t>la promoción d</w:t>
      </w:r>
      <w:r w:rsidRPr="007F4E9F">
        <w:rPr>
          <w:rFonts w:ascii="Times New Roman" w:hAnsi="Times New Roman" w:cs="Times New Roman"/>
        </w:rPr>
        <w:t>el consumo y los estilos de vida sostenibles</w:t>
      </w:r>
      <w:r w:rsidR="00AE74D9" w:rsidRPr="007F4E9F">
        <w:rPr>
          <w:rFonts w:ascii="Times New Roman" w:hAnsi="Times New Roman" w:cs="Times New Roman"/>
        </w:rPr>
        <w:t xml:space="preserve"> </w:t>
      </w:r>
      <w:r w:rsidR="00D13C3C" w:rsidRPr="007F4E9F">
        <w:rPr>
          <w:rFonts w:ascii="Times New Roman" w:hAnsi="Times New Roman"/>
        </w:rPr>
        <w:t xml:space="preserve">Percepciones de los actores </w:t>
      </w:r>
      <w:r w:rsidR="00EF0AD4" w:rsidRPr="007F4E9F">
        <w:rPr>
          <w:rFonts w:ascii="Times New Roman" w:eastAsia="Times New Roman" w:hAnsi="Times New Roman" w:cs="Times New Roman"/>
        </w:rPr>
        <w:t>(</w:t>
      </w:r>
      <w:r w:rsidR="00EF0AD4" w:rsidRPr="007F4E9F">
        <w:rPr>
          <w:rStyle w:val="bzpyqfadein"/>
        </w:rPr>
        <w:t>(</w:t>
      </w:r>
      <w:r w:rsidR="00EF0AD4" w:rsidRPr="007F4E9F">
        <w:rPr>
          <w:rFonts w:ascii="Times New Roman" w:hAnsi="Times New Roman"/>
          <w:noProof/>
          <w:lang w:val="es-ES"/>
        </w:rPr>
        <w:t>ICLEI, &amp; ACODAL</w:t>
      </w:r>
      <w:r w:rsidR="00EF0AD4" w:rsidRPr="007F4E9F">
        <w:rPr>
          <w:noProof/>
          <w:lang w:val="es-ES"/>
        </w:rPr>
        <w:t>, 2025b).</w:t>
      </w:r>
    </w:p>
    <w:p w14:paraId="01D6BAFA" w14:textId="717C7FA4" w:rsidR="006A4A26" w:rsidRPr="007F4E9F" w:rsidRDefault="00F4745D" w:rsidP="0032235A">
      <w:pPr>
        <w:jc w:val="both"/>
        <w:rPr>
          <w:rFonts w:ascii="Times New Roman" w:hAnsi="Times New Roman" w:cs="Times New Roman"/>
        </w:rPr>
      </w:pPr>
      <w:r w:rsidRPr="007F4E9F">
        <w:rPr>
          <w:rFonts w:ascii="Times New Roman" w:hAnsi="Times New Roman" w:cs="Times New Roman"/>
        </w:rPr>
        <w:t>Los actores consultados como el comité directivo y el organismo ejecutor, coinciden en la coherencia del modelo de gobernanza presentado, así como del análisis normativo realizado</w:t>
      </w:r>
      <w:r w:rsidR="00590DB9" w:rsidRPr="007F4E9F">
        <w:rPr>
          <w:rFonts w:ascii="Times New Roman" w:hAnsi="Times New Roman" w:cs="Times New Roman"/>
        </w:rPr>
        <w:t xml:space="preserve">. Sin embargo, frente a la coherencia en la implementación coinciden en que este componente hubiera generado más valor de haberse implementado antes de la plataforma digital. La razón subyacente es sencilla ya que el componente 2 entrega un modelo de gobernanza para la plataforma y el análisis normativo realizado es un gran insumo para identificar barreras y factores habilitantes para la plataforma digital. </w:t>
      </w:r>
    </w:p>
    <w:p w14:paraId="5039B32F" w14:textId="2992C580" w:rsidR="00590DB9" w:rsidRPr="007F4E9F" w:rsidRDefault="00590DB9" w:rsidP="0032235A">
      <w:pPr>
        <w:jc w:val="both"/>
        <w:rPr>
          <w:rFonts w:ascii="Times New Roman" w:hAnsi="Times New Roman" w:cs="Times New Roman"/>
        </w:rPr>
      </w:pPr>
      <w:r w:rsidRPr="007F4E9F">
        <w:rPr>
          <w:rFonts w:ascii="Times New Roman" w:hAnsi="Times New Roman" w:cs="Times New Roman"/>
        </w:rPr>
        <w:t>En este sentido</w:t>
      </w:r>
      <w:r w:rsidR="00E8583F" w:rsidRPr="007F4E9F">
        <w:rPr>
          <w:rFonts w:ascii="Times New Roman" w:hAnsi="Times New Roman" w:cs="Times New Roman"/>
        </w:rPr>
        <w:t xml:space="preserve"> y ratificando un comentario anterior</w:t>
      </w:r>
      <w:r w:rsidR="00D677F0" w:rsidRPr="007F4E9F">
        <w:rPr>
          <w:rFonts w:ascii="Times New Roman" w:hAnsi="Times New Roman" w:cs="Times New Roman"/>
        </w:rPr>
        <w:t xml:space="preserve"> frente al orden de implementación de los componentes. Uno de los productos centrales del componente 1 en la priorización de sectores y la validación técnica, casi que hubiera estado cubierto por el análisis normativo extenso del componente 2 y este análisis probablemente hubiera ayudado a priorizar sectores más maduros para la </w:t>
      </w:r>
      <w:r w:rsidR="003F2007" w:rsidRPr="007F4E9F">
        <w:rPr>
          <w:rFonts w:ascii="Times New Roman" w:hAnsi="Times New Roman" w:cs="Times New Roman"/>
        </w:rPr>
        <w:t>plataforma y</w:t>
      </w:r>
      <w:r w:rsidR="00D677F0" w:rsidRPr="007F4E9F">
        <w:rPr>
          <w:rFonts w:ascii="Times New Roman" w:hAnsi="Times New Roman" w:cs="Times New Roman"/>
        </w:rPr>
        <w:t xml:space="preserve"> a superar la desalienación normativa antes de vincularlos a la plataforma. En esta misma línea, es probable que el modelo de gobernanza entregará </w:t>
      </w:r>
      <w:r w:rsidR="003F2007" w:rsidRPr="007F4E9F">
        <w:rPr>
          <w:rFonts w:ascii="Times New Roman" w:hAnsi="Times New Roman" w:cs="Times New Roman"/>
        </w:rPr>
        <w:t>elementos claves</w:t>
      </w:r>
      <w:r w:rsidR="00D677F0" w:rsidRPr="007F4E9F">
        <w:rPr>
          <w:rFonts w:ascii="Times New Roman" w:hAnsi="Times New Roman" w:cs="Times New Roman"/>
        </w:rPr>
        <w:t xml:space="preserve"> para facilitar los mecanismos de coordinación que tributarán a un mejor dinamismo de la plataforma como un</w:t>
      </w:r>
      <w:r w:rsidR="003F2007" w:rsidRPr="007F4E9F">
        <w:rPr>
          <w:rFonts w:ascii="Times New Roman" w:hAnsi="Times New Roman" w:cs="Times New Roman"/>
        </w:rPr>
        <w:t xml:space="preserve">a herramienta habilitante para la </w:t>
      </w:r>
      <w:r w:rsidR="003E2785" w:rsidRPr="007F4E9F">
        <w:rPr>
          <w:rFonts w:ascii="Times New Roman" w:hAnsi="Times New Roman" w:cs="Times New Roman"/>
        </w:rPr>
        <w:t>transición</w:t>
      </w:r>
      <w:r w:rsidR="003F2007" w:rsidRPr="007F4E9F">
        <w:rPr>
          <w:rFonts w:ascii="Times New Roman" w:hAnsi="Times New Roman" w:cs="Times New Roman"/>
        </w:rPr>
        <w:t xml:space="preserve"> circular en América Latina y el Caribe.</w:t>
      </w:r>
      <w:r w:rsidR="00D677F0" w:rsidRPr="007F4E9F">
        <w:rPr>
          <w:rFonts w:ascii="Times New Roman" w:hAnsi="Times New Roman" w:cs="Times New Roman"/>
        </w:rPr>
        <w:t xml:space="preserve"> </w:t>
      </w:r>
    </w:p>
    <w:p w14:paraId="45B0D426" w14:textId="4774C2BA" w:rsidR="00D13C3C" w:rsidRPr="007F4E9F" w:rsidRDefault="00D13C3C" w:rsidP="0032235A">
      <w:pPr>
        <w:pStyle w:val="Heading3"/>
        <w:jc w:val="both"/>
        <w:rPr>
          <w:rFonts w:ascii="Times New Roman" w:hAnsi="Times New Roman"/>
        </w:rPr>
      </w:pPr>
      <w:bookmarkStart w:id="110" w:name="_Toc226750222"/>
      <w:r w:rsidRPr="007F4E9F">
        <w:rPr>
          <w:rFonts w:ascii="Times New Roman" w:hAnsi="Times New Roman"/>
        </w:rPr>
        <w:t>Cumplimiento</w:t>
      </w:r>
      <w:bookmarkEnd w:id="110"/>
      <w:r w:rsidRPr="007F4E9F">
        <w:rPr>
          <w:rFonts w:ascii="Times New Roman" w:hAnsi="Times New Roman"/>
        </w:rPr>
        <w:t xml:space="preserve"> </w:t>
      </w:r>
    </w:p>
    <w:p w14:paraId="2BC79138" w14:textId="2B95360C" w:rsidR="00D13C3C" w:rsidRPr="007F4E9F" w:rsidRDefault="00D13C3C" w:rsidP="0032235A">
      <w:pPr>
        <w:jc w:val="both"/>
        <w:rPr>
          <w:rFonts w:ascii="Times New Roman" w:hAnsi="Times New Roman" w:cs="Times New Roman"/>
        </w:rPr>
      </w:pPr>
      <w:r w:rsidRPr="007F4E9F">
        <w:rPr>
          <w:rFonts w:ascii="Times New Roman" w:hAnsi="Times New Roman" w:cs="Times New Roman"/>
        </w:rPr>
        <w:t xml:space="preserve">El cumplimiento busca verificar si el proyecto cumplió con los resultados previstos en la intervención. </w:t>
      </w:r>
      <w:r w:rsidR="003F2007" w:rsidRPr="007F4E9F">
        <w:rPr>
          <w:rFonts w:ascii="Times New Roman" w:hAnsi="Times New Roman" w:cs="Times New Roman"/>
        </w:rPr>
        <w:t>Corresponde a la Matriz de cumplimiento de resultados por componente y ciudad, contrastando metas planificadas vs. Alcanzadas, que se solicita en el informe intermedio.</w:t>
      </w:r>
      <w:r w:rsidRPr="007F4E9F">
        <w:rPr>
          <w:rFonts w:ascii="Times New Roman" w:hAnsi="Times New Roman" w:cs="Times New Roman"/>
        </w:rPr>
        <w:t xml:space="preserve"> De acuerdo con la tabla 1, se evaluaron dos alcances para cada componente: </w:t>
      </w:r>
    </w:p>
    <w:p w14:paraId="221ADBE6" w14:textId="77777777" w:rsidR="00D13C3C" w:rsidRPr="007F4E9F" w:rsidRDefault="00D13C3C" w:rsidP="005C3660">
      <w:pPr>
        <w:pStyle w:val="ListParagraph"/>
        <w:numPr>
          <w:ilvl w:val="0"/>
          <w:numId w:val="10"/>
        </w:numPr>
        <w:jc w:val="both"/>
        <w:rPr>
          <w:rFonts w:ascii="Times New Roman" w:hAnsi="Times New Roman" w:cs="Times New Roman"/>
        </w:rPr>
      </w:pPr>
      <w:r w:rsidRPr="007F4E9F">
        <w:rPr>
          <w:rFonts w:ascii="Times New Roman" w:hAnsi="Times New Roman" w:cs="Times New Roman"/>
        </w:rPr>
        <w:t xml:space="preserve">Nivel de logro de metas e indicadores previstos en el convenio. </w:t>
      </w:r>
    </w:p>
    <w:p w14:paraId="7B72D620" w14:textId="77777777" w:rsidR="00D13C3C" w:rsidRPr="007F4E9F" w:rsidRDefault="00D13C3C" w:rsidP="005C3660">
      <w:pPr>
        <w:pStyle w:val="ListParagraph"/>
        <w:numPr>
          <w:ilvl w:val="0"/>
          <w:numId w:val="10"/>
        </w:numPr>
        <w:jc w:val="both"/>
        <w:rPr>
          <w:rFonts w:ascii="Times New Roman" w:hAnsi="Times New Roman" w:cs="Times New Roman"/>
        </w:rPr>
      </w:pPr>
      <w:r w:rsidRPr="007F4E9F">
        <w:rPr>
          <w:rFonts w:ascii="Times New Roman" w:hAnsi="Times New Roman" w:cs="Times New Roman"/>
        </w:rPr>
        <w:t>Revisión de evidencias y productos técnicos entregados.</w:t>
      </w:r>
    </w:p>
    <w:p w14:paraId="7F8D8614" w14:textId="77777777" w:rsidR="00D13C3C" w:rsidRPr="007F4E9F" w:rsidRDefault="00D13C3C" w:rsidP="0032235A">
      <w:pPr>
        <w:pStyle w:val="Heading4"/>
        <w:jc w:val="both"/>
        <w:rPr>
          <w:rFonts w:ascii="Times New Roman" w:hAnsi="Times New Roman"/>
        </w:rPr>
      </w:pPr>
      <w:bookmarkStart w:id="111" w:name="_Toc226750223"/>
      <w:r w:rsidRPr="007F4E9F">
        <w:rPr>
          <w:rFonts w:ascii="Times New Roman" w:hAnsi="Times New Roman"/>
        </w:rPr>
        <w:t>Nivel de logro de metas e indicadores previstos en el convenio.</w:t>
      </w:r>
      <w:bookmarkEnd w:id="111"/>
      <w:r w:rsidRPr="007F4E9F">
        <w:rPr>
          <w:rFonts w:ascii="Times New Roman" w:hAnsi="Times New Roman"/>
        </w:rPr>
        <w:t xml:space="preserve"> </w:t>
      </w:r>
    </w:p>
    <w:p w14:paraId="6A2579BD" w14:textId="3C4ED973" w:rsidR="00D13C3C" w:rsidRPr="007F4E9F" w:rsidRDefault="00D13C3C" w:rsidP="0032235A">
      <w:pPr>
        <w:pStyle w:val="Caption"/>
        <w:keepNext/>
        <w:jc w:val="both"/>
        <w:rPr>
          <w:rFonts w:ascii="Times New Roman" w:hAnsi="Times New Roman" w:cs="Times New Roman"/>
          <w:sz w:val="22"/>
          <w:szCs w:val="22"/>
        </w:rPr>
      </w:pPr>
      <w:bookmarkStart w:id="112" w:name="_Toc225848239"/>
      <w:r w:rsidRPr="007F4E9F">
        <w:rPr>
          <w:rFonts w:ascii="Times New Roman" w:hAnsi="Times New Roman" w:cs="Times New Roman"/>
          <w:sz w:val="22"/>
          <w:szCs w:val="22"/>
        </w:rPr>
        <w:t xml:space="preserve">Tabla </w:t>
      </w:r>
      <w:r w:rsidRPr="007F4E9F">
        <w:rPr>
          <w:rFonts w:ascii="Times New Roman" w:hAnsi="Times New Roman" w:cs="Times New Roman"/>
          <w:sz w:val="22"/>
          <w:szCs w:val="22"/>
        </w:rPr>
        <w:fldChar w:fldCharType="begin"/>
      </w:r>
      <w:r w:rsidRPr="007F4E9F">
        <w:rPr>
          <w:rFonts w:ascii="Times New Roman" w:hAnsi="Times New Roman" w:cs="Times New Roman"/>
          <w:sz w:val="22"/>
          <w:szCs w:val="22"/>
        </w:rPr>
        <w:instrText xml:space="preserve"> SEQ Tabla \* ARABIC </w:instrText>
      </w:r>
      <w:r w:rsidRPr="007F4E9F">
        <w:rPr>
          <w:rFonts w:ascii="Times New Roman" w:hAnsi="Times New Roman" w:cs="Times New Roman"/>
          <w:sz w:val="22"/>
          <w:szCs w:val="22"/>
        </w:rPr>
        <w:fldChar w:fldCharType="separate"/>
      </w:r>
      <w:r w:rsidR="00CB1A80" w:rsidRPr="007F4E9F">
        <w:rPr>
          <w:rFonts w:ascii="Times New Roman" w:hAnsi="Times New Roman" w:cs="Times New Roman"/>
          <w:noProof/>
          <w:sz w:val="22"/>
          <w:szCs w:val="22"/>
        </w:rPr>
        <w:t>13</w:t>
      </w:r>
      <w:r w:rsidRPr="007F4E9F">
        <w:rPr>
          <w:rFonts w:ascii="Times New Roman" w:hAnsi="Times New Roman" w:cs="Times New Roman"/>
          <w:sz w:val="22"/>
          <w:szCs w:val="22"/>
        </w:rPr>
        <w:fldChar w:fldCharType="end"/>
      </w:r>
      <w:r w:rsidRPr="007F4E9F">
        <w:rPr>
          <w:rFonts w:ascii="Times New Roman" w:hAnsi="Times New Roman" w:cs="Times New Roman"/>
          <w:sz w:val="22"/>
          <w:szCs w:val="22"/>
        </w:rPr>
        <w:t xml:space="preserve"> </w:t>
      </w:r>
      <w:r w:rsidRPr="007F4E9F">
        <w:rPr>
          <w:rFonts w:ascii="Times New Roman" w:hAnsi="Times New Roman" w:cs="Times New Roman"/>
          <w:i/>
          <w:iCs/>
          <w:sz w:val="22"/>
          <w:szCs w:val="22"/>
        </w:rPr>
        <w:t>Matriz de resultados</w:t>
      </w:r>
      <w:bookmarkEnd w:id="112"/>
    </w:p>
    <w:p w14:paraId="3ABC2C70" w14:textId="4B9DC86E" w:rsidR="00D13C3C" w:rsidRPr="007F4E9F" w:rsidRDefault="00D13C3C" w:rsidP="0032235A">
      <w:pPr>
        <w:jc w:val="both"/>
        <w:rPr>
          <w:rFonts w:ascii="Times New Roman" w:hAnsi="Times New Roman" w:cs="Times New Roman"/>
        </w:rPr>
      </w:pPr>
      <w:r w:rsidRPr="007F4E9F">
        <w:rPr>
          <w:rFonts w:ascii="Times New Roman" w:hAnsi="Times New Roman" w:cs="Times New Roman"/>
          <w:noProof/>
        </w:rPr>
        <w:drawing>
          <wp:inline distT="0" distB="0" distL="0" distR="0" wp14:anchorId="0FAB2A87" wp14:editId="348B389D">
            <wp:extent cx="5486400" cy="189103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6400" cy="1891030"/>
                    </a:xfrm>
                    <a:prstGeom prst="rect">
                      <a:avLst/>
                    </a:prstGeom>
                  </pic:spPr>
                </pic:pic>
              </a:graphicData>
            </a:graphic>
          </wp:inline>
        </w:drawing>
      </w:r>
    </w:p>
    <w:p w14:paraId="6194234F" w14:textId="77777777" w:rsidR="006D4BB4" w:rsidRPr="007F4E9F" w:rsidRDefault="006D4BB4" w:rsidP="006D4BB4">
      <w:pPr>
        <w:spacing w:line="240" w:lineRule="auto"/>
        <w:jc w:val="both"/>
        <w:rPr>
          <w:rFonts w:ascii="Times New Roman" w:hAnsi="Times New Roman" w:cs="Times New Roman"/>
        </w:rPr>
      </w:pPr>
      <w:r w:rsidRPr="007F4E9F">
        <w:rPr>
          <w:rFonts w:ascii="Times New Roman" w:hAnsi="Times New Roman" w:cs="Times New Roman"/>
        </w:rPr>
        <w:t>Fuente: Matriz de resultados RG-T3997</w:t>
      </w:r>
    </w:p>
    <w:p w14:paraId="7F1EF46E" w14:textId="77777777" w:rsidR="006D4BB4" w:rsidRPr="007F4E9F" w:rsidRDefault="006D4BB4" w:rsidP="0032235A">
      <w:pPr>
        <w:jc w:val="both"/>
        <w:rPr>
          <w:rFonts w:ascii="Times New Roman" w:hAnsi="Times New Roman" w:cs="Times New Roman"/>
        </w:rPr>
      </w:pPr>
    </w:p>
    <w:p w14:paraId="6001AA4A" w14:textId="65B0EF6F" w:rsidR="00D13C3C" w:rsidRPr="00FC1E96" w:rsidRDefault="003B1026" w:rsidP="0032235A">
      <w:pPr>
        <w:pStyle w:val="Subtitle"/>
        <w:jc w:val="both"/>
        <w:rPr>
          <w:rFonts w:ascii="Times New Roman" w:hAnsi="Times New Roman" w:cs="Times New Roman"/>
          <w:sz w:val="22"/>
          <w:szCs w:val="22"/>
        </w:rPr>
      </w:pPr>
      <w:r w:rsidRPr="00FC1E96">
        <w:rPr>
          <w:rFonts w:ascii="Times New Roman" w:hAnsi="Times New Roman" w:cs="Times New Roman"/>
          <w:sz w:val="22"/>
          <w:szCs w:val="22"/>
        </w:rPr>
        <w:t>Resultados</w:t>
      </w:r>
      <w:r w:rsidR="00D13C3C" w:rsidRPr="00FC1E96">
        <w:rPr>
          <w:rFonts w:ascii="Times New Roman" w:hAnsi="Times New Roman" w:cs="Times New Roman"/>
          <w:sz w:val="22"/>
          <w:szCs w:val="22"/>
        </w:rPr>
        <w:t xml:space="preserve"> </w:t>
      </w:r>
    </w:p>
    <w:p w14:paraId="7B3F6E13" w14:textId="068D14FB" w:rsidR="00584C7A" w:rsidRPr="00FC1E96" w:rsidRDefault="00C51092" w:rsidP="003B1026">
      <w:pPr>
        <w:pStyle w:val="Subtitle"/>
        <w:jc w:val="both"/>
        <w:rPr>
          <w:rFonts w:ascii="Times New Roman" w:hAnsi="Times New Roman" w:cs="Times New Roman"/>
          <w:sz w:val="22"/>
          <w:szCs w:val="22"/>
        </w:rPr>
      </w:pPr>
      <w:r w:rsidRPr="00FC1E96">
        <w:rPr>
          <w:rFonts w:ascii="Times New Roman" w:hAnsi="Times New Roman" w:cs="Times New Roman"/>
          <w:sz w:val="22"/>
          <w:szCs w:val="22"/>
        </w:rPr>
        <w:t xml:space="preserve">2 </w:t>
      </w:r>
      <w:r w:rsidR="003B1026" w:rsidRPr="00FC1E96">
        <w:rPr>
          <w:rFonts w:ascii="Times New Roman" w:hAnsi="Times New Roman" w:cs="Times New Roman"/>
          <w:sz w:val="22"/>
          <w:szCs w:val="22"/>
        </w:rPr>
        <w:t>Fortalecimiento del marco normativo</w:t>
      </w:r>
      <w:r w:rsidRPr="00FC1E96">
        <w:rPr>
          <w:rFonts w:ascii="Times New Roman" w:hAnsi="Times New Roman" w:cs="Times New Roman"/>
          <w:sz w:val="22"/>
          <w:szCs w:val="22"/>
        </w:rPr>
        <w:t>.</w:t>
      </w:r>
    </w:p>
    <w:p w14:paraId="4B2D39B7" w14:textId="279C0729" w:rsidR="006D4BB4" w:rsidRPr="007F4E9F" w:rsidRDefault="006D4BB4" w:rsidP="006D4BB4">
      <w:pPr>
        <w:spacing w:line="240" w:lineRule="auto"/>
        <w:jc w:val="both"/>
        <w:rPr>
          <w:rFonts w:ascii="Times New Roman" w:hAnsi="Times New Roman" w:cs="Times New Roman"/>
        </w:rPr>
      </w:pPr>
      <w:r w:rsidRPr="007F4E9F">
        <w:rPr>
          <w:rFonts w:ascii="Times New Roman" w:hAnsi="Times New Roman" w:cs="Times New Roman"/>
        </w:rPr>
        <w:t xml:space="preserve">Este indicador tiene un solo numeral y corresponde a 2.1 </w:t>
      </w:r>
      <w:r w:rsidR="003B1026" w:rsidRPr="007F4E9F">
        <w:rPr>
          <w:rFonts w:ascii="Times New Roman" w:hAnsi="Times New Roman"/>
        </w:rPr>
        <w:t>Fortalecimiento de los marcos jurídicos/normativos.</w:t>
      </w:r>
      <w:r w:rsidRPr="007F4E9F">
        <w:rPr>
          <w:rFonts w:ascii="Times New Roman" w:hAnsi="Times New Roman" w:cs="Times New Roman"/>
        </w:rPr>
        <w:t xml:space="preserve"> Se propone el fortalecimiento de 2 marcos. A fecha de corte del 28 de enero se contaba con 3 marcos regulatorios que iniciaron su fortalecimiento, uno por ciudad (Bogotá, Quito y Santiago de Chile). Es de aclarar que esta consultoría se implementó en apenas 4 meses y que este periodo es insuficiente para llevar a cabo un fortalecimiento normativo completo. </w:t>
      </w:r>
      <w:r w:rsidRPr="007F4E9F">
        <w:rPr>
          <w:rFonts w:ascii="Times New Roman" w:hAnsi="Times New Roman"/>
        </w:rPr>
        <w:t>La evidencia internacional, incluyendo los marcos promovidos por la Fundación Ellen MacArthur, muestra que los procesos de transición hacia una economía circular y su traducción en instrumentos normativos requieren horizontes de implementación multianuales. Iniciativas globales como el Global</w:t>
      </w:r>
      <w:r w:rsidR="003B1026" w:rsidRPr="007F4E9F">
        <w:rPr>
          <w:rFonts w:ascii="Times New Roman" w:hAnsi="Times New Roman"/>
        </w:rPr>
        <w:t xml:space="preserve"> Commitment</w:t>
      </w:r>
      <w:r w:rsidRPr="007F4E9F">
        <w:rPr>
          <w:rFonts w:ascii="Times New Roman" w:hAnsi="Times New Roman"/>
        </w:rPr>
        <w:t xml:space="preserve"> para los plásticos </w:t>
      </w:r>
      <w:sdt>
        <w:sdtPr>
          <w:rPr>
            <w:rFonts w:ascii="Times New Roman" w:hAnsi="Times New Roman"/>
          </w:rPr>
          <w:id w:val="-1348798468"/>
          <w:citation/>
        </w:sdtPr>
        <w:sdtContent>
          <w:r w:rsidRPr="007F4E9F">
            <w:rPr>
              <w:rFonts w:ascii="Times New Roman" w:hAnsi="Times New Roman"/>
            </w:rPr>
            <w:fldChar w:fldCharType="begin"/>
          </w:r>
          <w:r w:rsidRPr="007F4E9F">
            <w:rPr>
              <w:rFonts w:ascii="Times New Roman" w:hAnsi="Times New Roman"/>
              <w:lang w:val="es-ES"/>
            </w:rPr>
            <w:instrText xml:space="preserve"> CITATION Ell23 \l 3082 </w:instrText>
          </w:r>
          <w:r w:rsidRPr="007F4E9F">
            <w:rPr>
              <w:rFonts w:ascii="Times New Roman" w:hAnsi="Times New Roman"/>
            </w:rPr>
            <w:fldChar w:fldCharType="separate"/>
          </w:r>
          <w:r w:rsidRPr="007F4E9F">
            <w:rPr>
              <w:rFonts w:ascii="Times New Roman" w:hAnsi="Times New Roman"/>
              <w:noProof/>
              <w:lang w:val="es-ES"/>
            </w:rPr>
            <w:t>(Ellen MacArthur Foundation, &amp; United Nations Environment Programme, 2023)</w:t>
          </w:r>
          <w:r w:rsidRPr="007F4E9F">
            <w:rPr>
              <w:rFonts w:ascii="Times New Roman" w:hAnsi="Times New Roman"/>
            </w:rPr>
            <w:fldChar w:fldCharType="end"/>
          </w:r>
        </w:sdtContent>
      </w:sdt>
      <w:r w:rsidRPr="007F4E9F">
        <w:rPr>
          <w:rFonts w:ascii="Times New Roman" w:hAnsi="Times New Roman"/>
        </w:rPr>
        <w:t xml:space="preserve"> se estructuran en ciclos de al menos cinco años, combinando fases de alineación de actores, aprendizaje, implementación y escalamiento. De manera consistente, los principales marcos regulatorios como el Plan de Acción de Economía Circular de la Unión Europea </w:t>
      </w:r>
      <w:sdt>
        <w:sdtPr>
          <w:rPr>
            <w:rFonts w:ascii="Times New Roman" w:hAnsi="Times New Roman"/>
          </w:rPr>
          <w:id w:val="-200554620"/>
          <w:citation/>
        </w:sdtPr>
        <w:sdtContent>
          <w:r w:rsidRPr="007F4E9F">
            <w:rPr>
              <w:rFonts w:ascii="Times New Roman" w:hAnsi="Times New Roman"/>
            </w:rPr>
            <w:fldChar w:fldCharType="begin"/>
          </w:r>
          <w:r w:rsidRPr="007F4E9F">
            <w:rPr>
              <w:rFonts w:ascii="Times New Roman" w:hAnsi="Times New Roman"/>
              <w:lang w:val="es-ES"/>
            </w:rPr>
            <w:instrText xml:space="preserve"> CITATION Eur20 \l 3082 </w:instrText>
          </w:r>
          <w:r w:rsidRPr="007F4E9F">
            <w:rPr>
              <w:rFonts w:ascii="Times New Roman" w:hAnsi="Times New Roman"/>
            </w:rPr>
            <w:fldChar w:fldCharType="separate"/>
          </w:r>
          <w:r w:rsidRPr="007F4E9F">
            <w:rPr>
              <w:rFonts w:ascii="Times New Roman" w:hAnsi="Times New Roman"/>
              <w:noProof/>
              <w:lang w:val="es-ES"/>
            </w:rPr>
            <w:t>(European Commission, &amp; Ellen MacArthur Foundation, 2020)</w:t>
          </w:r>
          <w:r w:rsidRPr="007F4E9F">
            <w:rPr>
              <w:rFonts w:ascii="Times New Roman" w:hAnsi="Times New Roman"/>
            </w:rPr>
            <w:fldChar w:fldCharType="end"/>
          </w:r>
        </w:sdtContent>
      </w:sdt>
      <w:r w:rsidRPr="007F4E9F">
        <w:rPr>
          <w:rFonts w:ascii="Times New Roman" w:hAnsi="Times New Roman"/>
        </w:rPr>
        <w:t xml:space="preserve"> establecen metas a 10 y 20 años. Esto refleja el carácter sistémico de la economía circular, que implica ajustes institucionales, regulatorios, de mercado y de capacidades. La evidencia regional confirma que los procesos de fortalecimiento normativo y de política pública en economía circular requieren horizontes de mediano plazo. Por ejemplo, la Hoja de Ruta de Economía Circular de Chile </w:t>
      </w:r>
      <w:sdt>
        <w:sdtPr>
          <w:rPr>
            <w:rFonts w:ascii="Times New Roman" w:hAnsi="Times New Roman"/>
          </w:rPr>
          <w:id w:val="-194623469"/>
          <w:citation/>
        </w:sdtPr>
        <w:sdtContent>
          <w:r w:rsidRPr="007F4E9F">
            <w:rPr>
              <w:rFonts w:ascii="Times New Roman" w:hAnsi="Times New Roman"/>
            </w:rPr>
            <w:fldChar w:fldCharType="begin"/>
          </w:r>
          <w:r w:rsidRPr="007F4E9F">
            <w:rPr>
              <w:rFonts w:ascii="Times New Roman" w:hAnsi="Times New Roman"/>
              <w:lang w:val="es-ES"/>
            </w:rPr>
            <w:instrText xml:space="preserve"> CITATION Ell22 \l 3082 </w:instrText>
          </w:r>
          <w:r w:rsidRPr="007F4E9F">
            <w:rPr>
              <w:rFonts w:ascii="Times New Roman" w:hAnsi="Times New Roman"/>
            </w:rPr>
            <w:fldChar w:fldCharType="separate"/>
          </w:r>
          <w:r w:rsidRPr="007F4E9F">
            <w:rPr>
              <w:rFonts w:ascii="Times New Roman" w:hAnsi="Times New Roman"/>
              <w:noProof/>
              <w:lang w:val="es-ES"/>
            </w:rPr>
            <w:t>(Ellen MacArthur Foundation, 2022)</w:t>
          </w:r>
          <w:r w:rsidRPr="007F4E9F">
            <w:rPr>
              <w:rFonts w:ascii="Times New Roman" w:hAnsi="Times New Roman"/>
            </w:rPr>
            <w:fldChar w:fldCharType="end"/>
          </w:r>
        </w:sdtContent>
      </w:sdt>
      <w:r w:rsidRPr="007F4E9F">
        <w:rPr>
          <w:rFonts w:ascii="Times New Roman" w:hAnsi="Times New Roman"/>
        </w:rPr>
        <w:t xml:space="preserve"> fue desarrollada a lo largo de aproximadamente dos años, mediante un proceso altamente participativo que involucró más de 140 actores de los sectores público, privado, académico y social, así como múltiples instancias de consulta, validación y construcción colectiva. De manera similar ocurre con la Política Distrital de Economía circular de Bogotá desarrollado mediante procesos de diagnóstico técnico, articulación interinstitucional, priorización sectorial y validación política, en el marco de los procedimientos formales de adopción de políticas públicas del Distrito</w:t>
      </w:r>
      <w:sdt>
        <w:sdtPr>
          <w:rPr>
            <w:rFonts w:ascii="Times New Roman" w:hAnsi="Times New Roman"/>
          </w:rPr>
          <w:id w:val="460455494"/>
          <w:citation/>
        </w:sdtPr>
        <w:sdtContent>
          <w:r w:rsidRPr="007F4E9F">
            <w:rPr>
              <w:rFonts w:ascii="Times New Roman" w:hAnsi="Times New Roman"/>
            </w:rPr>
            <w:fldChar w:fldCharType="begin"/>
          </w:r>
          <w:r w:rsidRPr="007F4E9F">
            <w:rPr>
              <w:rFonts w:ascii="Times New Roman" w:hAnsi="Times New Roman"/>
              <w:lang w:val="es-ES"/>
            </w:rPr>
            <w:instrText xml:space="preserve"> CITATION Sec23 \l 3082 </w:instrText>
          </w:r>
          <w:r w:rsidRPr="007F4E9F">
            <w:rPr>
              <w:rFonts w:ascii="Times New Roman" w:hAnsi="Times New Roman"/>
            </w:rPr>
            <w:fldChar w:fldCharType="separate"/>
          </w:r>
          <w:r w:rsidRPr="007F4E9F">
            <w:rPr>
              <w:rFonts w:ascii="Times New Roman" w:hAnsi="Times New Roman"/>
              <w:noProof/>
              <w:lang w:val="es-ES"/>
            </w:rPr>
            <w:t xml:space="preserve"> (Secretaría Distrital de Ambiente, 2023)</w:t>
          </w:r>
          <w:r w:rsidRPr="007F4E9F">
            <w:rPr>
              <w:rFonts w:ascii="Times New Roman" w:hAnsi="Times New Roman"/>
            </w:rPr>
            <w:fldChar w:fldCharType="end"/>
          </w:r>
        </w:sdtContent>
      </w:sdt>
      <w:r w:rsidRPr="007F4E9F">
        <w:rPr>
          <w:rFonts w:ascii="Times New Roman" w:hAnsi="Times New Roman"/>
        </w:rPr>
        <w:t>. En este contexto, un periodo de cuatro meses resulta insuficiente para desarrollar procesos robustos de fortalecimiento normativo. Por lo tanto, el alcance se limita a ejercicios diagnósticos o propuestas preliminares como la realizada en el componente 2, sin garantizar su validación, apropiación e implementación efectiva</w:t>
      </w:r>
      <w:r w:rsidRPr="007F4E9F">
        <w:rPr>
          <w:rFonts w:ascii="Times New Roman" w:hAnsi="Times New Roman" w:cs="Times New Roman"/>
        </w:rPr>
        <w:t xml:space="preserve">. Dicho fortalecimiento parte del diagnóstico normativo en el cual se formulan recomendaciones generales de fortalecimiento como una primera fase del fortalecimiento. </w:t>
      </w:r>
    </w:p>
    <w:p w14:paraId="210BFB3F" w14:textId="77777777" w:rsidR="006D4BB4" w:rsidRPr="007F4E9F" w:rsidRDefault="006D4BB4" w:rsidP="006D4BB4">
      <w:pPr>
        <w:spacing w:line="240" w:lineRule="auto"/>
        <w:jc w:val="both"/>
        <w:rPr>
          <w:rFonts w:ascii="Times New Roman" w:hAnsi="Times New Roman" w:cs="Times New Roman"/>
        </w:rPr>
      </w:pPr>
      <w:r w:rsidRPr="007F4E9F">
        <w:rPr>
          <w:rFonts w:ascii="Times New Roman" w:hAnsi="Times New Roman" w:cs="Times New Roman"/>
        </w:rPr>
        <w:t xml:space="preserve">Por ejemplo, si se dieran recomendaciones de fortalecimiento de la Política Distrital de Economía Circular de Bogotá, los ajustes o mejoras propuestas dependen entre otras cosas de los tiempos de actualización o ajustes definidos en la misma política y de la agenda legislativa del Concejo de Bogotá, por lo tanto, no es conveniente hablar de marcos regulatorios fortalecidos y es mejor referirse a marcos normativos en proceso de fortalecimiento. </w:t>
      </w:r>
    </w:p>
    <w:p w14:paraId="757320EB" w14:textId="7E72F300" w:rsidR="00D13C3C" w:rsidRPr="00FC1E96" w:rsidRDefault="003B1026" w:rsidP="0032235A">
      <w:pPr>
        <w:pStyle w:val="Subtitle"/>
        <w:jc w:val="both"/>
        <w:rPr>
          <w:rFonts w:ascii="Times New Roman" w:hAnsi="Times New Roman" w:cs="Times New Roman"/>
          <w:sz w:val="22"/>
          <w:szCs w:val="22"/>
        </w:rPr>
      </w:pPr>
      <w:r w:rsidRPr="00FC1E96">
        <w:rPr>
          <w:rFonts w:ascii="Times New Roman" w:hAnsi="Times New Roman" w:cs="Times New Roman"/>
          <w:sz w:val="22"/>
          <w:szCs w:val="22"/>
        </w:rPr>
        <w:t>Resultado 2</w:t>
      </w:r>
      <w:r w:rsidR="00C83ADE" w:rsidRPr="00FC1E96">
        <w:rPr>
          <w:rFonts w:ascii="Times New Roman" w:hAnsi="Times New Roman" w:cs="Times New Roman"/>
          <w:sz w:val="22"/>
          <w:szCs w:val="22"/>
        </w:rPr>
        <w:t xml:space="preserve"> </w:t>
      </w:r>
      <w:r w:rsidRPr="00FC1E96">
        <w:rPr>
          <w:rFonts w:ascii="Times New Roman" w:hAnsi="Times New Roman" w:cs="Times New Roman"/>
          <w:sz w:val="22"/>
          <w:szCs w:val="22"/>
        </w:rPr>
        <w:t>Fortalecimiento del marco normativo</w:t>
      </w:r>
    </w:p>
    <w:p w14:paraId="3CA825A4" w14:textId="6C71EBA3" w:rsidR="00C83ADE" w:rsidRPr="007F4E9F" w:rsidRDefault="00C83ADE" w:rsidP="0032235A">
      <w:pPr>
        <w:jc w:val="both"/>
        <w:rPr>
          <w:rFonts w:ascii="Times New Roman" w:hAnsi="Times New Roman"/>
        </w:rPr>
      </w:pPr>
      <w:r w:rsidRPr="007F4E9F">
        <w:rPr>
          <w:rFonts w:ascii="Times New Roman" w:hAnsi="Times New Roman"/>
        </w:rPr>
        <w:t xml:space="preserve">2.1 </w:t>
      </w:r>
      <w:r w:rsidR="003B1026" w:rsidRPr="007F4E9F">
        <w:rPr>
          <w:rFonts w:ascii="Times New Roman" w:hAnsi="Times New Roman"/>
        </w:rPr>
        <w:t>Diagnósticos y evaluaciones completadas</w:t>
      </w:r>
      <w:r w:rsidRPr="007F4E9F">
        <w:rPr>
          <w:rFonts w:ascii="Times New Roman" w:hAnsi="Times New Roman"/>
        </w:rPr>
        <w:t xml:space="preserve"> </w:t>
      </w:r>
    </w:p>
    <w:p w14:paraId="1CBBB36B" w14:textId="2FE83440" w:rsidR="00381629" w:rsidRPr="007F4E9F" w:rsidRDefault="00381629" w:rsidP="0032235A">
      <w:pPr>
        <w:jc w:val="both"/>
        <w:rPr>
          <w:rFonts w:ascii="Times New Roman" w:hAnsi="Times New Roman" w:cs="Times New Roman"/>
        </w:rPr>
      </w:pPr>
      <w:r w:rsidRPr="007F4E9F">
        <w:rPr>
          <w:rFonts w:ascii="Times New Roman" w:hAnsi="Times New Roman" w:cs="Times New Roman"/>
        </w:rPr>
        <w:t>Este resultado buscaba la generación de un estudio y propuestas para la promoción de modelos circulares en la región. El estudio contratado con el consorcio ICLEI-ACODAL responde con suficiencia a este estudio al entregar el modelo de gobernanza, el estudio normativo validado y ajustado con los diferentes actores.</w:t>
      </w:r>
    </w:p>
    <w:p w14:paraId="0BECDF0D" w14:textId="2484F013" w:rsidR="00D13C3C" w:rsidRPr="007F4E9F" w:rsidRDefault="00D13C3C" w:rsidP="0032235A">
      <w:pPr>
        <w:pStyle w:val="Heading4"/>
        <w:jc w:val="both"/>
        <w:rPr>
          <w:rFonts w:ascii="Times New Roman" w:hAnsi="Times New Roman"/>
        </w:rPr>
      </w:pPr>
      <w:bookmarkStart w:id="113" w:name="_Toc226750224"/>
      <w:r w:rsidRPr="007F4E9F">
        <w:rPr>
          <w:rFonts w:ascii="Times New Roman" w:hAnsi="Times New Roman"/>
        </w:rPr>
        <w:t>Revisión de evidencias y productos técnicos entregados.</w:t>
      </w:r>
      <w:bookmarkEnd w:id="113"/>
    </w:p>
    <w:p w14:paraId="1AFAD4F5" w14:textId="2FBC9657" w:rsidR="008E2447" w:rsidRPr="007F4E9F" w:rsidRDefault="008E2447" w:rsidP="0032235A">
      <w:pPr>
        <w:jc w:val="both"/>
        <w:rPr>
          <w:rFonts w:ascii="Times New Roman" w:hAnsi="Times New Roman" w:cs="Times New Roman"/>
        </w:rPr>
      </w:pPr>
      <w:r w:rsidRPr="007F4E9F">
        <w:rPr>
          <w:rFonts w:ascii="Times New Roman" w:hAnsi="Times New Roman" w:cs="Times New Roman"/>
        </w:rPr>
        <w:t xml:space="preserve">Tal y como se resume en la tabla 12, se puede verificar que los 4 productos entregados corresponden a los compromisos suscritos en el contrato </w:t>
      </w:r>
      <w:r w:rsidRPr="007F4E9F">
        <w:rPr>
          <w:rFonts w:ascii="Times New Roman" w:hAnsi="Times New Roman" w:cs="Times New Roman"/>
          <w:b/>
          <w:bCs/>
          <w:color w:val="222222"/>
        </w:rPr>
        <w:t xml:space="preserve">SDA-BID-04-20251449 </w:t>
      </w:r>
      <w:r w:rsidRPr="007F4E9F">
        <w:rPr>
          <w:rFonts w:ascii="Times New Roman" w:hAnsi="Times New Roman" w:cs="Times New Roman"/>
          <w:color w:val="222222"/>
        </w:rPr>
        <w:t xml:space="preserve">suscrito con el Consorcio ICLEI-ACODAL seccional Noroccidente. Los productos se pueden verificar en </w:t>
      </w:r>
      <w:r w:rsidRPr="007F4E9F">
        <w:rPr>
          <w:rFonts w:ascii="Times New Roman" w:hAnsi="Times New Roman" w:cs="Times New Roman"/>
        </w:rPr>
        <w:t>los anexos del componente 2.</w:t>
      </w:r>
    </w:p>
    <w:p w14:paraId="403AB375" w14:textId="144B198D" w:rsidR="00D13C3C" w:rsidRPr="007F4E9F" w:rsidRDefault="00D13C3C" w:rsidP="0032235A">
      <w:pPr>
        <w:pStyle w:val="Heading4"/>
        <w:jc w:val="both"/>
        <w:rPr>
          <w:rFonts w:ascii="Times New Roman" w:hAnsi="Times New Roman"/>
        </w:rPr>
      </w:pPr>
      <w:bookmarkStart w:id="114" w:name="_Toc226750225"/>
      <w:r w:rsidRPr="007F4E9F">
        <w:rPr>
          <w:rFonts w:ascii="Times New Roman" w:hAnsi="Times New Roman"/>
        </w:rPr>
        <w:t>Percepciones de los grupos de interés</w:t>
      </w:r>
      <w:bookmarkEnd w:id="114"/>
      <w:r w:rsidRPr="007F4E9F">
        <w:rPr>
          <w:rFonts w:ascii="Times New Roman" w:hAnsi="Times New Roman"/>
        </w:rPr>
        <w:t xml:space="preserve"> </w:t>
      </w:r>
    </w:p>
    <w:p w14:paraId="201FED4C" w14:textId="0AF95E8F" w:rsidR="006872EA" w:rsidRPr="007F4E9F" w:rsidRDefault="00E7384B" w:rsidP="0032235A">
      <w:pPr>
        <w:jc w:val="both"/>
        <w:rPr>
          <w:rFonts w:ascii="Times New Roman" w:hAnsi="Times New Roman" w:cs="Times New Roman"/>
        </w:rPr>
      </w:pPr>
      <w:r w:rsidRPr="007F4E9F">
        <w:rPr>
          <w:rFonts w:ascii="Times New Roman" w:hAnsi="Times New Roman" w:cs="Times New Roman"/>
        </w:rPr>
        <w:t xml:space="preserve">En espacios de validación con actores, se presentaron </w:t>
      </w:r>
      <w:r w:rsidR="006872EA" w:rsidRPr="007F4E9F">
        <w:rPr>
          <w:rFonts w:ascii="Times New Roman" w:hAnsi="Times New Roman" w:cs="Times New Roman"/>
        </w:rPr>
        <w:t>los dos productos centrales del componente 2, El modelo de gobernanza y el estudio regulatorio.</w:t>
      </w:r>
      <w:r w:rsidRPr="007F4E9F">
        <w:rPr>
          <w:rFonts w:ascii="Times New Roman" w:hAnsi="Times New Roman" w:cs="Times New Roman"/>
        </w:rPr>
        <w:t xml:space="preserve"> Para ambos estudios, los</w:t>
      </w:r>
      <w:r w:rsidR="00D9330E" w:rsidRPr="007F4E9F">
        <w:rPr>
          <w:rFonts w:ascii="Times New Roman" w:hAnsi="Times New Roman" w:cs="Times New Roman"/>
        </w:rPr>
        <w:t xml:space="preserve"> </w:t>
      </w:r>
      <w:r w:rsidR="00B6089F" w:rsidRPr="007F4E9F">
        <w:rPr>
          <w:rFonts w:ascii="Times New Roman" w:hAnsi="Times New Roman" w:cs="Times New Roman"/>
        </w:rPr>
        <w:t>participantes</w:t>
      </w:r>
      <w:r w:rsidRPr="007F4E9F">
        <w:rPr>
          <w:rFonts w:ascii="Times New Roman" w:hAnsi="Times New Roman" w:cs="Times New Roman"/>
        </w:rPr>
        <w:t xml:space="preserve"> en talleres presenciales, virtuales y visitas técnicas, entregaron sus aportes y estos fueron tenidos en cuenta en el informe final. Por lo tanto, los actores validaron los productos con sus percepciones y ayudaron a complementarlos y/o mejorarlos con sus aportes. </w:t>
      </w:r>
      <w:bookmarkStart w:id="115" w:name="_Hlk224482732"/>
      <w:bookmarkStart w:id="116" w:name="_Hlk224482764"/>
    </w:p>
    <w:p w14:paraId="1BAD5823" w14:textId="076848ED" w:rsidR="006C578A" w:rsidRPr="007F4E9F" w:rsidRDefault="006C578A" w:rsidP="0032235A">
      <w:pPr>
        <w:jc w:val="both"/>
        <w:rPr>
          <w:rFonts w:ascii="Times New Roman" w:hAnsi="Times New Roman" w:cs="Times New Roman"/>
        </w:rPr>
      </w:pPr>
    </w:p>
    <w:p w14:paraId="016F4DD3" w14:textId="77777777" w:rsidR="006C578A" w:rsidRPr="007F4E9F" w:rsidRDefault="006C578A" w:rsidP="005C3660">
      <w:pPr>
        <w:pStyle w:val="Heading3"/>
        <w:numPr>
          <w:ilvl w:val="2"/>
          <w:numId w:val="19"/>
        </w:numPr>
        <w:jc w:val="both"/>
        <w:rPr>
          <w:rFonts w:ascii="Times New Roman" w:hAnsi="Times New Roman"/>
        </w:rPr>
      </w:pPr>
      <w:bookmarkStart w:id="117" w:name="_Toc226750226"/>
      <w:commentRangeStart w:id="118"/>
      <w:r w:rsidRPr="007F4E9F">
        <w:rPr>
          <w:rFonts w:ascii="Times New Roman" w:hAnsi="Times New Roman"/>
        </w:rPr>
        <w:t>Eficiencia</w:t>
      </w:r>
      <w:bookmarkEnd w:id="117"/>
      <w:commentRangeEnd w:id="118"/>
      <w:r w:rsidR="00C26D5A" w:rsidRPr="007F4E9F">
        <w:rPr>
          <w:rStyle w:val="CommentReference"/>
          <w:rFonts w:ascii="Times New Roman" w:hAnsi="Times New Roman"/>
          <w:sz w:val="22"/>
          <w:szCs w:val="22"/>
        </w:rPr>
        <w:commentReference w:id="118"/>
      </w:r>
    </w:p>
    <w:p w14:paraId="26095612" w14:textId="77777777" w:rsidR="006C578A" w:rsidRPr="007F4E9F" w:rsidRDefault="006C578A" w:rsidP="006C578A">
      <w:pPr>
        <w:pStyle w:val="Heading4"/>
      </w:pPr>
      <w:bookmarkStart w:id="119" w:name="_Toc226750227"/>
      <w:r w:rsidRPr="007F4E9F">
        <w:t>Relación entre los recursos utilizados y los resultados alcanzados.</w:t>
      </w:r>
      <w:bookmarkEnd w:id="119"/>
    </w:p>
    <w:p w14:paraId="4F37AFC7" w14:textId="77777777" w:rsidR="006C578A" w:rsidRPr="007F4E9F" w:rsidRDefault="006C578A" w:rsidP="006C578A">
      <w:pPr>
        <w:pStyle w:val="Heading3"/>
        <w:jc w:val="both"/>
        <w:rPr>
          <w:rFonts w:ascii="Times New Roman" w:hAnsi="Times New Roman"/>
        </w:rPr>
      </w:pPr>
      <w:bookmarkStart w:id="120" w:name="_Toc226750228"/>
      <w:r w:rsidRPr="007F4E9F">
        <w:rPr>
          <w:rFonts w:ascii="Times New Roman" w:hAnsi="Times New Roman"/>
        </w:rPr>
        <w:t>Impacto</w:t>
      </w:r>
      <w:bookmarkEnd w:id="120"/>
      <w:r w:rsidRPr="007F4E9F">
        <w:rPr>
          <w:rFonts w:ascii="Times New Roman" w:hAnsi="Times New Roman"/>
        </w:rPr>
        <w:t xml:space="preserve"> </w:t>
      </w:r>
    </w:p>
    <w:p w14:paraId="265F5653" w14:textId="77777777" w:rsidR="006C578A" w:rsidRPr="007F4E9F" w:rsidRDefault="006C578A" w:rsidP="006C578A">
      <w:pPr>
        <w:pStyle w:val="Heading4"/>
      </w:pPr>
      <w:bookmarkStart w:id="121" w:name="_Toc226750229"/>
      <w:r w:rsidRPr="007F4E9F">
        <w:t>Efectos significativos, positivos o negativos, previstos o no previstos, generados por la intervención.</w:t>
      </w:r>
      <w:bookmarkEnd w:id="121"/>
    </w:p>
    <w:p w14:paraId="46C25E39" w14:textId="77777777" w:rsidR="006C578A" w:rsidRPr="007F4E9F" w:rsidRDefault="006C578A" w:rsidP="0032235A">
      <w:pPr>
        <w:jc w:val="both"/>
        <w:rPr>
          <w:rFonts w:ascii="Times New Roman" w:hAnsi="Times New Roman" w:cs="Times New Roman"/>
        </w:rPr>
      </w:pPr>
    </w:p>
    <w:p w14:paraId="1A03D5B6" w14:textId="77777777" w:rsidR="00D13C3C" w:rsidRPr="007F4E9F" w:rsidRDefault="00D13C3C" w:rsidP="0032235A">
      <w:pPr>
        <w:pStyle w:val="Heading3"/>
        <w:jc w:val="both"/>
        <w:rPr>
          <w:rFonts w:ascii="Times New Roman" w:hAnsi="Times New Roman"/>
        </w:rPr>
      </w:pPr>
      <w:bookmarkStart w:id="122" w:name="_Toc226750230"/>
      <w:r w:rsidRPr="007F4E9F">
        <w:rPr>
          <w:rFonts w:ascii="Times New Roman" w:hAnsi="Times New Roman"/>
        </w:rPr>
        <w:t>Sostenibilidad</w:t>
      </w:r>
      <w:bookmarkEnd w:id="122"/>
    </w:p>
    <w:p w14:paraId="202A7233" w14:textId="0FA2A054" w:rsidR="00D13C3C" w:rsidRPr="007F4E9F" w:rsidRDefault="00D13C3C" w:rsidP="0032235A">
      <w:pPr>
        <w:spacing w:after="0" w:line="240" w:lineRule="auto"/>
        <w:jc w:val="both"/>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color w:val="000000" w:themeColor="text1"/>
          <w:lang w:eastAsia="es-ES"/>
        </w:rPr>
        <w:t xml:space="preserve">La evaluación de la sostenibilidad busca definir si los resultados </w:t>
      </w:r>
      <w:r w:rsidR="00F0358C" w:rsidRPr="007F4E9F">
        <w:rPr>
          <w:rFonts w:ascii="Times New Roman" w:eastAsia="Times New Roman" w:hAnsi="Times New Roman" w:cs="Times New Roman"/>
          <w:color w:val="000000" w:themeColor="text1"/>
          <w:lang w:eastAsia="es-ES"/>
        </w:rPr>
        <w:t xml:space="preserve">del modelo de gobernanza y el fortalecimiento normativo se </w:t>
      </w:r>
      <w:r w:rsidRPr="007F4E9F">
        <w:rPr>
          <w:rFonts w:ascii="Times New Roman" w:eastAsia="Times New Roman" w:hAnsi="Times New Roman" w:cs="Times New Roman"/>
          <w:color w:val="000000" w:themeColor="text1"/>
          <w:lang w:eastAsia="es-ES"/>
        </w:rPr>
        <w:t xml:space="preserve">mantendrán en el tiempo. </w:t>
      </w:r>
    </w:p>
    <w:p w14:paraId="176BC228" w14:textId="77777777" w:rsidR="00D13C3C" w:rsidRPr="007F4E9F" w:rsidRDefault="00D13C3C" w:rsidP="0032235A">
      <w:pPr>
        <w:spacing w:after="0" w:line="240" w:lineRule="auto"/>
        <w:jc w:val="both"/>
        <w:rPr>
          <w:rFonts w:ascii="Times New Roman" w:eastAsia="Times New Roman" w:hAnsi="Times New Roman" w:cs="Times New Roman"/>
          <w:color w:val="000000" w:themeColor="text1"/>
          <w:lang w:eastAsia="es-ES"/>
        </w:rPr>
      </w:pPr>
    </w:p>
    <w:p w14:paraId="1C0431C7" w14:textId="77777777" w:rsidR="00D13C3C" w:rsidRPr="007F4E9F" w:rsidRDefault="00D13C3C" w:rsidP="0032235A">
      <w:pPr>
        <w:jc w:val="both"/>
        <w:rPr>
          <w:rFonts w:ascii="Times New Roman" w:hAnsi="Times New Roman" w:cs="Times New Roman"/>
        </w:rPr>
      </w:pPr>
      <w:r w:rsidRPr="007F4E9F">
        <w:rPr>
          <w:rFonts w:ascii="Times New Roman" w:hAnsi="Times New Roman" w:cs="Times New Roman"/>
        </w:rPr>
        <w:t xml:space="preserve">Para evaluar la sostenibilidad, de acuerdo con la tabla 1, se verificaron un alcance para cada componente: </w:t>
      </w:r>
    </w:p>
    <w:p w14:paraId="67F67070" w14:textId="77777777" w:rsidR="00D13C3C" w:rsidRPr="007F4E9F" w:rsidRDefault="00D13C3C" w:rsidP="005C3660">
      <w:pPr>
        <w:pStyle w:val="ListParagraph"/>
        <w:numPr>
          <w:ilvl w:val="0"/>
          <w:numId w:val="12"/>
        </w:numPr>
        <w:jc w:val="both"/>
        <w:rPr>
          <w:rFonts w:ascii="Times New Roman" w:hAnsi="Times New Roman" w:cs="Times New Roman"/>
        </w:rPr>
      </w:pPr>
      <w:r w:rsidRPr="007F4E9F">
        <w:rPr>
          <w:rFonts w:ascii="Times New Roman" w:hAnsi="Times New Roman" w:cs="Times New Roman"/>
        </w:rPr>
        <w:t>Análisis de las condiciones institucionales, técnicas y financieras para la continuidad de los logros alcanzados.</w:t>
      </w:r>
    </w:p>
    <w:p w14:paraId="74446E06" w14:textId="77777777" w:rsidR="00D13C3C" w:rsidRPr="007F4E9F" w:rsidRDefault="00D13C3C" w:rsidP="0032235A">
      <w:pPr>
        <w:pStyle w:val="Heading4"/>
        <w:jc w:val="both"/>
        <w:rPr>
          <w:rFonts w:ascii="Times New Roman" w:hAnsi="Times New Roman"/>
        </w:rPr>
      </w:pPr>
      <w:bookmarkStart w:id="123" w:name="_Toc226750231"/>
      <w:commentRangeStart w:id="124"/>
      <w:r w:rsidRPr="007F4E9F">
        <w:rPr>
          <w:rFonts w:ascii="Times New Roman" w:hAnsi="Times New Roman"/>
        </w:rPr>
        <w:t>Análisis de las condiciones institucionales, técnicas y financieras para la continuidad de los logros alcanzados.</w:t>
      </w:r>
      <w:bookmarkEnd w:id="123"/>
    </w:p>
    <w:p w14:paraId="003DC742" w14:textId="1956A095" w:rsidR="00D13C3C" w:rsidRPr="007F4E9F" w:rsidRDefault="00A13A9C" w:rsidP="0032235A">
      <w:pPr>
        <w:jc w:val="both"/>
        <w:rPr>
          <w:rFonts w:ascii="Times New Roman" w:hAnsi="Times New Roman" w:cs="Times New Roman"/>
        </w:rPr>
      </w:pPr>
      <w:r w:rsidRPr="007F4E9F">
        <w:rPr>
          <w:rFonts w:ascii="Times New Roman" w:hAnsi="Times New Roman" w:cs="Times New Roman"/>
        </w:rPr>
        <w:t xml:space="preserve">Nota: Este numeral se completará en el informe 3 cuando se </w:t>
      </w:r>
      <w:bookmarkEnd w:id="115"/>
      <w:r w:rsidRPr="007F4E9F">
        <w:rPr>
          <w:rFonts w:ascii="Times New Roman" w:hAnsi="Times New Roman" w:cs="Times New Roman"/>
        </w:rPr>
        <w:t xml:space="preserve">desarrolle la segunda parte de la mesa de trabajo con la secretaría de ambiente, el grupo focal con la SDA y la entrevista con el BID. </w:t>
      </w:r>
      <w:commentRangeEnd w:id="124"/>
      <w:r w:rsidR="00C26D5A" w:rsidRPr="007F4E9F">
        <w:rPr>
          <w:rStyle w:val="CommentReference"/>
          <w:rFonts w:ascii="Times New Roman" w:hAnsi="Times New Roman" w:cs="Times New Roman"/>
          <w:sz w:val="22"/>
          <w:szCs w:val="22"/>
        </w:rPr>
        <w:commentReference w:id="124"/>
      </w:r>
    </w:p>
    <w:p w14:paraId="5D11D1D1" w14:textId="77777777" w:rsidR="00D13C3C" w:rsidRPr="007F4E9F" w:rsidRDefault="00D13C3C" w:rsidP="0032235A">
      <w:pPr>
        <w:pStyle w:val="Heading4"/>
        <w:jc w:val="both"/>
        <w:rPr>
          <w:rFonts w:ascii="Times New Roman" w:hAnsi="Times New Roman"/>
        </w:rPr>
      </w:pPr>
      <w:bookmarkStart w:id="125" w:name="_Toc226750232"/>
      <w:r w:rsidRPr="007F4E9F">
        <w:rPr>
          <w:rFonts w:ascii="Times New Roman" w:hAnsi="Times New Roman"/>
        </w:rPr>
        <w:t>Percepciones de los actores</w:t>
      </w:r>
      <w:bookmarkEnd w:id="125"/>
    </w:p>
    <w:p w14:paraId="0AC9881C" w14:textId="5D26E73E" w:rsidR="00C8142B" w:rsidRPr="007F4E9F" w:rsidRDefault="00184AB6" w:rsidP="0032235A">
      <w:pPr>
        <w:spacing w:after="0" w:line="240" w:lineRule="auto"/>
        <w:jc w:val="both"/>
        <w:rPr>
          <w:rFonts w:ascii="Times New Roman" w:eastAsia="Times New Roman" w:hAnsi="Times New Roman" w:cs="Times New Roman"/>
          <w:color w:val="000000" w:themeColor="text1"/>
          <w:lang w:eastAsia="es-ES"/>
        </w:rPr>
      </w:pPr>
      <w:commentRangeStart w:id="126"/>
      <w:r w:rsidRPr="007F4E9F">
        <w:rPr>
          <w:rFonts w:ascii="Times New Roman" w:eastAsia="Times New Roman" w:hAnsi="Times New Roman" w:cs="Times New Roman"/>
          <w:color w:val="000000" w:themeColor="text1"/>
          <w:lang w:eastAsia="es-ES"/>
        </w:rPr>
        <w:t>La sostenibilidad del proyecto general se refiere en mayor medida en el sostenimiento de la plataforma digital, el modelo de gobernanza y el análisis normativo que motiva y soporta el fortalecimiento regulatorio tributan a la plataforma digital. Por lo tanto, La sostenibilidad del fortalecimiento normativo es importante en la medida que genera factores habilitantes para la plataforma</w:t>
      </w:r>
      <w:commentRangeEnd w:id="126"/>
      <w:r w:rsidR="00C26D5A" w:rsidRPr="007F4E9F">
        <w:rPr>
          <w:rStyle w:val="CommentReference"/>
          <w:rFonts w:ascii="Times New Roman" w:eastAsia="Times New Roman" w:hAnsi="Times New Roman" w:cs="Times New Roman"/>
          <w:color w:val="000000" w:themeColor="text1"/>
          <w:sz w:val="22"/>
          <w:szCs w:val="22"/>
          <w:lang w:eastAsia="es-ES"/>
        </w:rPr>
        <w:commentReference w:id="126"/>
      </w:r>
      <w:r w:rsidRPr="007F4E9F">
        <w:rPr>
          <w:rFonts w:ascii="Times New Roman" w:eastAsia="Times New Roman" w:hAnsi="Times New Roman" w:cs="Times New Roman"/>
          <w:color w:val="000000" w:themeColor="text1"/>
          <w:lang w:eastAsia="es-ES"/>
        </w:rPr>
        <w:t>. Por ejemplo, la desclasificación de residuos o el cierre de brechas entre el diseño y la implementación de políticas y marcos regulatorios en circularidad.</w:t>
      </w:r>
    </w:p>
    <w:p w14:paraId="38820D31" w14:textId="7040D834" w:rsidR="009C6A22" w:rsidRPr="007F4E9F" w:rsidRDefault="009C6A22" w:rsidP="0032235A">
      <w:pPr>
        <w:spacing w:after="0" w:line="240" w:lineRule="auto"/>
        <w:jc w:val="both"/>
        <w:rPr>
          <w:rFonts w:ascii="Times New Roman" w:eastAsia="Times New Roman" w:hAnsi="Times New Roman" w:cs="Times New Roman"/>
          <w:color w:val="000000" w:themeColor="text1"/>
          <w:lang w:eastAsia="es-ES"/>
        </w:rPr>
      </w:pPr>
    </w:p>
    <w:p w14:paraId="02B34711" w14:textId="098C1E45" w:rsidR="009C6A22" w:rsidRPr="007F4E9F" w:rsidRDefault="009C6A22" w:rsidP="0032235A">
      <w:pPr>
        <w:spacing w:after="0" w:line="240" w:lineRule="auto"/>
        <w:jc w:val="both"/>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color w:val="000000" w:themeColor="text1"/>
          <w:lang w:eastAsia="es-ES"/>
        </w:rPr>
        <w:t>Los actores manifiestan la necesidad de definir incentivos claros para facilitar los negocios circulares y al mismo tiempo eliminar los incentivos perversos a las materias primas vírgenes o la priorización de la disposición final de los residuos sobre la valorización de los mismos.</w:t>
      </w:r>
    </w:p>
    <w:p w14:paraId="5F71FD5A" w14:textId="30717947" w:rsidR="006C578A" w:rsidRPr="007F4E9F" w:rsidRDefault="006C578A" w:rsidP="0032235A">
      <w:pPr>
        <w:spacing w:after="0" w:line="240" w:lineRule="auto"/>
        <w:jc w:val="both"/>
        <w:rPr>
          <w:rFonts w:ascii="Times New Roman" w:eastAsia="Times New Roman" w:hAnsi="Times New Roman" w:cs="Times New Roman"/>
          <w:color w:val="000000" w:themeColor="text1"/>
          <w:lang w:eastAsia="es-ES"/>
        </w:rPr>
      </w:pPr>
    </w:p>
    <w:p w14:paraId="5308D345" w14:textId="77777777" w:rsidR="006C578A" w:rsidRPr="007F4E9F" w:rsidRDefault="006C578A" w:rsidP="005C3660">
      <w:pPr>
        <w:pStyle w:val="Heading3"/>
        <w:numPr>
          <w:ilvl w:val="2"/>
          <w:numId w:val="20"/>
        </w:numPr>
        <w:jc w:val="both"/>
        <w:rPr>
          <w:rFonts w:ascii="Times New Roman" w:hAnsi="Times New Roman"/>
        </w:rPr>
      </w:pPr>
      <w:bookmarkStart w:id="127" w:name="_Toc226750233"/>
      <w:r w:rsidRPr="007F4E9F">
        <w:rPr>
          <w:rFonts w:ascii="Times New Roman" w:hAnsi="Times New Roman"/>
        </w:rPr>
        <w:t>Escalabilidad</w:t>
      </w:r>
      <w:bookmarkEnd w:id="127"/>
    </w:p>
    <w:p w14:paraId="149DE5D8" w14:textId="77777777" w:rsidR="006C578A" w:rsidRPr="007F4E9F" w:rsidRDefault="006C578A" w:rsidP="006C578A">
      <w:pPr>
        <w:pStyle w:val="Heading4"/>
      </w:pPr>
      <w:bookmarkStart w:id="128" w:name="_Toc226750234"/>
      <w:r w:rsidRPr="007F4E9F">
        <w:t>Identificación de oportunidades de replicabilidad y expansión del modelo en otras ciudades o países de la región.</w:t>
      </w:r>
      <w:bookmarkEnd w:id="128"/>
    </w:p>
    <w:bookmarkEnd w:id="116"/>
    <w:p w14:paraId="5C8447E7" w14:textId="59C73FD5" w:rsidR="00184AB6" w:rsidRPr="007F4E9F" w:rsidRDefault="00184AB6" w:rsidP="0032235A">
      <w:pPr>
        <w:spacing w:after="0" w:line="240" w:lineRule="auto"/>
        <w:jc w:val="both"/>
        <w:rPr>
          <w:rFonts w:ascii="Times New Roman" w:eastAsia="Times New Roman" w:hAnsi="Times New Roman" w:cs="Times New Roman"/>
          <w:color w:val="000000" w:themeColor="text1"/>
          <w:lang w:eastAsia="es-ES"/>
        </w:rPr>
      </w:pPr>
    </w:p>
    <w:p w14:paraId="3878B0DC" w14:textId="77777777" w:rsidR="0032192F" w:rsidRPr="007F4E9F" w:rsidRDefault="0032192F" w:rsidP="0032235A">
      <w:pPr>
        <w:pStyle w:val="Heading1"/>
        <w:jc w:val="both"/>
        <w:rPr>
          <w:rFonts w:ascii="Times New Roman" w:hAnsi="Times New Roman" w:cs="Times New Roman"/>
          <w:sz w:val="22"/>
          <w:szCs w:val="22"/>
        </w:rPr>
      </w:pPr>
      <w:bookmarkStart w:id="129" w:name="_Toc221539847"/>
      <w:bookmarkStart w:id="130" w:name="_Toc226750235"/>
      <w:r w:rsidRPr="007F4E9F">
        <w:rPr>
          <w:rFonts w:ascii="Times New Roman" w:hAnsi="Times New Roman" w:cs="Times New Roman"/>
          <w:sz w:val="22"/>
          <w:szCs w:val="22"/>
        </w:rPr>
        <w:t>Identificación de factores habilitantes y limitantes de la implementación.</w:t>
      </w:r>
      <w:bookmarkEnd w:id="129"/>
      <w:bookmarkEnd w:id="130"/>
    </w:p>
    <w:p w14:paraId="0925BF11" w14:textId="77777777" w:rsidR="0032192F" w:rsidRPr="007F4E9F" w:rsidRDefault="0032192F" w:rsidP="0032235A">
      <w:pPr>
        <w:pStyle w:val="Heading2"/>
        <w:jc w:val="both"/>
        <w:rPr>
          <w:rFonts w:ascii="Times New Roman" w:hAnsi="Times New Roman" w:cs="Times New Roman"/>
          <w:sz w:val="22"/>
          <w:szCs w:val="22"/>
        </w:rPr>
      </w:pPr>
      <w:bookmarkStart w:id="131" w:name="_Toc221539848"/>
      <w:bookmarkStart w:id="132" w:name="_Toc226750236"/>
      <w:r w:rsidRPr="007F4E9F">
        <w:rPr>
          <w:rFonts w:ascii="Times New Roman" w:hAnsi="Times New Roman" w:cs="Times New Roman"/>
          <w:sz w:val="22"/>
          <w:szCs w:val="22"/>
        </w:rPr>
        <w:t>Factores habilitantes identificados</w:t>
      </w:r>
      <w:bookmarkEnd w:id="131"/>
      <w:bookmarkEnd w:id="132"/>
    </w:p>
    <w:p w14:paraId="647E8E94" w14:textId="49664D6A" w:rsidR="00994F24" w:rsidRPr="007F4E9F" w:rsidRDefault="00994F24" w:rsidP="0032235A">
      <w:pPr>
        <w:pStyle w:val="NormalWeb"/>
        <w:jc w:val="both"/>
        <w:rPr>
          <w:sz w:val="22"/>
          <w:szCs w:val="22"/>
        </w:rPr>
      </w:pPr>
      <w:r w:rsidRPr="007F4E9F">
        <w:rPr>
          <w:sz w:val="22"/>
          <w:szCs w:val="22"/>
        </w:rPr>
        <w:t xml:space="preserve">Se han identificado una serie de factores habilitantes para la implementación y sostenibilidad del proyecto en la medida que facilitan la transición de las ciudades a una economía circular que dinamiza los negocios circulares apoyada en una plataforma digital </w:t>
      </w:r>
      <w:r w:rsidR="00FC1C6A" w:rsidRPr="007F4E9F">
        <w:rPr>
          <w:sz w:val="22"/>
          <w:szCs w:val="22"/>
        </w:rPr>
        <w:t>que facilita el encuentro entre la oferta y la demanda de productos y servicios circulares</w:t>
      </w:r>
      <w:r w:rsidR="00FA49A6" w:rsidRPr="007F4E9F">
        <w:rPr>
          <w:sz w:val="22"/>
          <w:szCs w:val="22"/>
        </w:rPr>
        <w:t>.</w:t>
      </w:r>
    </w:p>
    <w:p w14:paraId="068C678D" w14:textId="77777777" w:rsidR="00E30EAC" w:rsidRPr="007F4E9F" w:rsidRDefault="00E30EAC" w:rsidP="00E30EAC">
      <w:pPr>
        <w:spacing w:line="240" w:lineRule="auto"/>
        <w:jc w:val="both"/>
        <w:rPr>
          <w:rFonts w:ascii="Times New Roman" w:hAnsi="Times New Roman"/>
        </w:rPr>
      </w:pPr>
      <w:r w:rsidRPr="007F4E9F">
        <w:rPr>
          <w:rFonts w:ascii="Times New Roman" w:hAnsi="Times New Roman"/>
        </w:rPr>
        <w:t xml:space="preserve">El primer factor habilitante identificado es la </w:t>
      </w:r>
      <w:r w:rsidRPr="007F4E9F">
        <w:rPr>
          <w:rFonts w:ascii="Times New Roman" w:hAnsi="Times New Roman"/>
          <w:b/>
          <w:bCs/>
        </w:rPr>
        <w:t>perseverancia responsable del organismo ejecutor</w:t>
      </w:r>
      <w:r w:rsidRPr="007F4E9F">
        <w:rPr>
          <w:rFonts w:ascii="Times New Roman" w:hAnsi="Times New Roman"/>
        </w:rPr>
        <w:t xml:space="preserve"> en la Secretaría Distrital de Ambiente de Bogotá. Esto debido a que, pese a un sinnúmero de cambios administrativos y organizacionales, mantuvo la responsabilidad de sacar adelante el proyecto. Esto, aunque no es garantía, facilita sostenibilidad en el tiempo porque el organismo ejecutor encuentra valor en la plataforma. No obstante, la dependencia de su sostenibilidad únicamente en el organismo ejecutor pone de relieve un riesgo estructural para la plataforma. </w:t>
      </w:r>
    </w:p>
    <w:p w14:paraId="4CBF1CEF" w14:textId="77777777" w:rsidR="00EB3F3F" w:rsidRPr="007F4E9F" w:rsidRDefault="00EB3F3F" w:rsidP="00EB3F3F">
      <w:pPr>
        <w:spacing w:line="240" w:lineRule="auto"/>
        <w:jc w:val="both"/>
        <w:rPr>
          <w:rFonts w:ascii="Times New Roman" w:hAnsi="Times New Roman"/>
        </w:rPr>
      </w:pPr>
      <w:r w:rsidRPr="007F4E9F">
        <w:rPr>
          <w:rFonts w:ascii="Times New Roman" w:hAnsi="Times New Roman"/>
          <w:b/>
          <w:bCs/>
        </w:rPr>
        <w:t>La concepción escalonada de los productos</w:t>
      </w:r>
      <w:r w:rsidRPr="007F4E9F">
        <w:rPr>
          <w:rFonts w:ascii="Times New Roman" w:hAnsi="Times New Roman"/>
        </w:rPr>
        <w:t xml:space="preserve"> de cada componente individual, permitió la estructuración de productos más consolidados. Los 12 productos del componente 1 en la plataforma digital van interactuando entre sí de manera que se recorre un camino de priorización de sectores, evaluación técnica y normativa de los sectores priorizados, el diseño y construcción de la plataforma digital donde se encuentran estos sectores, la definición de indicadores para medir el desempeño de la plataforma y las instrucciones finales para el cargue de información y la administración de la plataforma. De manera similar, en el componente 2 se aprecia el escalonamiento favorable de los productos con la propuesta de gobernanza, el estudio normativo, su validación y la consolidación de todos los hallazgos. Sin embargo, este escalonamiento jugo en contra cuando se realiza la implementación escalonada d ellos componentes, lo cual se ampliará en los factores limitantes.</w:t>
      </w:r>
    </w:p>
    <w:p w14:paraId="421CC1EA" w14:textId="76476494" w:rsidR="0032192F" w:rsidRPr="007F4E9F" w:rsidRDefault="00EB0D2A" w:rsidP="0032235A">
      <w:pPr>
        <w:pStyle w:val="NormalWeb"/>
        <w:jc w:val="both"/>
        <w:rPr>
          <w:sz w:val="22"/>
          <w:szCs w:val="22"/>
        </w:rPr>
      </w:pPr>
      <w:r w:rsidRPr="007F4E9F">
        <w:rPr>
          <w:b/>
          <w:bCs/>
          <w:sz w:val="22"/>
          <w:szCs w:val="22"/>
        </w:rPr>
        <w:t>L</w:t>
      </w:r>
      <w:r w:rsidR="00FA4E1A" w:rsidRPr="007F4E9F">
        <w:rPr>
          <w:b/>
          <w:bCs/>
          <w:sz w:val="22"/>
          <w:szCs w:val="22"/>
        </w:rPr>
        <w:t>a existencia de una arquitectura conceptual y técnica del Marketplace</w:t>
      </w:r>
      <w:r w:rsidRPr="007F4E9F">
        <w:rPr>
          <w:b/>
          <w:bCs/>
          <w:sz w:val="22"/>
          <w:szCs w:val="22"/>
        </w:rPr>
        <w:t xml:space="preserve"> facil</w:t>
      </w:r>
      <w:r w:rsidR="00D9330E" w:rsidRPr="007F4E9F">
        <w:rPr>
          <w:b/>
          <w:bCs/>
          <w:sz w:val="22"/>
          <w:szCs w:val="22"/>
        </w:rPr>
        <w:t xml:space="preserve">itó </w:t>
      </w:r>
      <w:r w:rsidRPr="007F4E9F">
        <w:rPr>
          <w:b/>
          <w:bCs/>
          <w:sz w:val="22"/>
          <w:szCs w:val="22"/>
        </w:rPr>
        <w:t>el diseño de una plataforma atractiva</w:t>
      </w:r>
      <w:r w:rsidR="00FA4E1A" w:rsidRPr="007F4E9F">
        <w:rPr>
          <w:sz w:val="22"/>
          <w:szCs w:val="22"/>
        </w:rPr>
        <w:t xml:space="preserve">. </w:t>
      </w:r>
      <w:r w:rsidR="0032192F" w:rsidRPr="007F4E9F">
        <w:rPr>
          <w:sz w:val="22"/>
          <w:szCs w:val="22"/>
        </w:rPr>
        <w:t xml:space="preserve">Los entregables 4 al 7 del Componente 1 presentan </w:t>
      </w:r>
      <w:r w:rsidR="00DE5377" w:rsidRPr="007F4E9F">
        <w:rPr>
          <w:sz w:val="22"/>
          <w:szCs w:val="22"/>
        </w:rPr>
        <w:t>una arquitectura</w:t>
      </w:r>
      <w:r w:rsidR="0032192F" w:rsidRPr="007F4E9F">
        <w:rPr>
          <w:rStyle w:val="Strong"/>
          <w:sz w:val="22"/>
          <w:szCs w:val="22"/>
        </w:rPr>
        <w:t xml:space="preserve"> clara del Marketplace</w:t>
      </w:r>
      <w:r w:rsidR="0032192F" w:rsidRPr="007F4E9F">
        <w:rPr>
          <w:sz w:val="22"/>
          <w:szCs w:val="22"/>
        </w:rPr>
        <w:t xml:space="preserve">, incluyendo su lógica funcional, estructura de actores, flujos de información y criterios técnicos para su implementación. Esta arquitectura constituye un </w:t>
      </w:r>
      <w:r w:rsidR="0032192F" w:rsidRPr="007F4E9F">
        <w:rPr>
          <w:rStyle w:val="Strong"/>
          <w:sz w:val="22"/>
          <w:szCs w:val="22"/>
        </w:rPr>
        <w:t>factor habilitante relevante</w:t>
      </w:r>
      <w:r w:rsidR="0032192F" w:rsidRPr="007F4E9F">
        <w:rPr>
          <w:sz w:val="22"/>
          <w:szCs w:val="22"/>
        </w:rPr>
        <w:t>, en tanto define un marco común para la operación de la plataforma y permite identificar los roles de administradores, oferentes y demandantes de materiales o productos.</w:t>
      </w:r>
      <w:r w:rsidR="009C01DF" w:rsidRPr="007F4E9F">
        <w:rPr>
          <w:sz w:val="22"/>
          <w:szCs w:val="22"/>
        </w:rPr>
        <w:t xml:space="preserve"> No obstante, se deben atender las recomendaciones estructurales entregadas por el profesional de TI de proyecto para su mantenimiento, mejora y sostenibilidad ya que la plataforma actual presenta una serie de fallos y carencias que amenazan su funcionamiento y seguridad.</w:t>
      </w:r>
    </w:p>
    <w:p w14:paraId="6448151B" w14:textId="67C3D117" w:rsidR="0032192F" w:rsidRPr="007F4E9F" w:rsidRDefault="0032192F" w:rsidP="0032235A">
      <w:pPr>
        <w:pStyle w:val="NormalWeb"/>
        <w:jc w:val="both"/>
        <w:rPr>
          <w:sz w:val="22"/>
          <w:szCs w:val="22"/>
        </w:rPr>
      </w:pPr>
      <w:r w:rsidRPr="007F4E9F">
        <w:rPr>
          <w:sz w:val="22"/>
          <w:szCs w:val="22"/>
        </w:rPr>
        <w:t xml:space="preserve">Adicionalmente, la definición de </w:t>
      </w:r>
      <w:r w:rsidRPr="007F4E9F">
        <w:rPr>
          <w:b/>
          <w:bCs/>
          <w:sz w:val="22"/>
          <w:szCs w:val="22"/>
        </w:rPr>
        <w:t>módulos funcionales</w:t>
      </w:r>
      <w:r w:rsidRPr="007F4E9F">
        <w:rPr>
          <w:sz w:val="22"/>
          <w:szCs w:val="22"/>
        </w:rPr>
        <w:t xml:space="preserve"> y de procesos internos aporta una base técnica suficiente para avanzar hacia una implementación progresiva del Marketplace, siempre que se logre una adecuada alineación entre diseño conceptual y condiciones reales de oferta y demanda en las ciudades.</w:t>
      </w:r>
      <w:r w:rsidR="00FA4E1A" w:rsidRPr="007F4E9F">
        <w:rPr>
          <w:sz w:val="22"/>
          <w:szCs w:val="22"/>
        </w:rPr>
        <w:t xml:space="preserve"> La configuración modular facilita la incorporación de nuevos módulos, especialmente importante para vincular más sectores y ciudades. </w:t>
      </w:r>
    </w:p>
    <w:p w14:paraId="7D555EBA" w14:textId="61F03161" w:rsidR="0032192F" w:rsidRPr="007F4E9F" w:rsidRDefault="00FA4E1A" w:rsidP="0032235A">
      <w:pPr>
        <w:pStyle w:val="NormalWeb"/>
        <w:jc w:val="both"/>
        <w:rPr>
          <w:sz w:val="22"/>
          <w:szCs w:val="22"/>
        </w:rPr>
      </w:pPr>
      <w:r w:rsidRPr="007F4E9F">
        <w:rPr>
          <w:b/>
          <w:bCs/>
          <w:sz w:val="22"/>
          <w:szCs w:val="22"/>
        </w:rPr>
        <w:t xml:space="preserve">La normativa favorable a la economía circular </w:t>
      </w:r>
      <w:r w:rsidRPr="007F4E9F">
        <w:rPr>
          <w:sz w:val="22"/>
          <w:szCs w:val="22"/>
        </w:rPr>
        <w:t xml:space="preserve">es un factor habilitante por excelencia. </w:t>
      </w:r>
      <w:r w:rsidR="0032192F" w:rsidRPr="007F4E9F">
        <w:rPr>
          <w:sz w:val="22"/>
          <w:szCs w:val="22"/>
        </w:rPr>
        <w:t xml:space="preserve">El análisis normativo del Componente 2 evidencia la existencia de </w:t>
      </w:r>
      <w:r w:rsidR="0032192F" w:rsidRPr="007F4E9F">
        <w:rPr>
          <w:rStyle w:val="Strong"/>
          <w:sz w:val="22"/>
          <w:szCs w:val="22"/>
        </w:rPr>
        <w:t>marcos regulatorios, estrategias y políticas públicas</w:t>
      </w:r>
      <w:r w:rsidR="0032192F" w:rsidRPr="007F4E9F">
        <w:rPr>
          <w:sz w:val="22"/>
          <w:szCs w:val="22"/>
        </w:rPr>
        <w:t xml:space="preserve"> que, en términos generales</w:t>
      </w:r>
      <w:r w:rsidR="009201E5" w:rsidRPr="007F4E9F">
        <w:rPr>
          <w:sz w:val="22"/>
          <w:szCs w:val="22"/>
        </w:rPr>
        <w:t xml:space="preserve"> y con las limitaciones señaladas, </w:t>
      </w:r>
      <w:r w:rsidR="0032192F" w:rsidRPr="007F4E9F">
        <w:rPr>
          <w:sz w:val="22"/>
          <w:szCs w:val="22"/>
        </w:rPr>
        <w:t xml:space="preserve">favorecen la implementación de </w:t>
      </w:r>
      <w:r w:rsidR="00DE5377" w:rsidRPr="007F4E9F">
        <w:rPr>
          <w:sz w:val="22"/>
          <w:szCs w:val="22"/>
        </w:rPr>
        <w:t xml:space="preserve">modelos de negocio </w:t>
      </w:r>
      <w:r w:rsidR="0032192F" w:rsidRPr="007F4E9F">
        <w:rPr>
          <w:sz w:val="22"/>
          <w:szCs w:val="22"/>
        </w:rPr>
        <w:t xml:space="preserve">de economía circular en las cuatro ciudades </w:t>
      </w:r>
      <w:r w:rsidR="009201E5" w:rsidRPr="007F4E9F">
        <w:rPr>
          <w:sz w:val="22"/>
          <w:szCs w:val="22"/>
        </w:rPr>
        <w:t>beneficiarias.</w:t>
      </w:r>
    </w:p>
    <w:p w14:paraId="56A33F10" w14:textId="034BB4D7" w:rsidR="009201E5" w:rsidRPr="007F4E9F" w:rsidRDefault="009201E5" w:rsidP="0032235A">
      <w:pPr>
        <w:pStyle w:val="NormalWeb"/>
        <w:jc w:val="both"/>
        <w:rPr>
          <w:sz w:val="22"/>
          <w:szCs w:val="22"/>
        </w:rPr>
      </w:pPr>
      <w:r w:rsidRPr="007F4E9F">
        <w:rPr>
          <w:sz w:val="22"/>
          <w:szCs w:val="22"/>
        </w:rPr>
        <w:t xml:space="preserve">La misma </w:t>
      </w:r>
      <w:r w:rsidRPr="007F4E9F">
        <w:rPr>
          <w:b/>
          <w:bCs/>
          <w:sz w:val="22"/>
          <w:szCs w:val="22"/>
        </w:rPr>
        <w:t>concepción muticiudad</w:t>
      </w:r>
      <w:r w:rsidRPr="007F4E9F">
        <w:rPr>
          <w:sz w:val="22"/>
          <w:szCs w:val="22"/>
        </w:rPr>
        <w:t xml:space="preserve"> de la plataforma, es un factor habilitante en cuanto a que la hace atractiva para públicos y empresarios de países diferentes. Al mismo tiempo puede ser un factor limitante, no obstante, </w:t>
      </w:r>
      <w:r w:rsidR="00500603" w:rsidRPr="007F4E9F">
        <w:rPr>
          <w:sz w:val="22"/>
          <w:szCs w:val="22"/>
        </w:rPr>
        <w:t xml:space="preserve">la novedad </w:t>
      </w:r>
      <w:r w:rsidR="00FA1BC1" w:rsidRPr="007F4E9F">
        <w:rPr>
          <w:sz w:val="22"/>
          <w:szCs w:val="22"/>
        </w:rPr>
        <w:t>muticiudad</w:t>
      </w:r>
      <w:r w:rsidR="00500603" w:rsidRPr="007F4E9F">
        <w:rPr>
          <w:sz w:val="22"/>
          <w:szCs w:val="22"/>
        </w:rPr>
        <w:t xml:space="preserve"> es un detonante de inscripción siempre y cuando se genere valor diferenciado para los usuarios. </w:t>
      </w:r>
    </w:p>
    <w:p w14:paraId="46BA6A10" w14:textId="4E21EE71" w:rsidR="00FA49A6" w:rsidRPr="007F4E9F" w:rsidRDefault="008479E2" w:rsidP="0032235A">
      <w:pPr>
        <w:pStyle w:val="NormalWeb"/>
        <w:jc w:val="both"/>
        <w:rPr>
          <w:sz w:val="22"/>
          <w:szCs w:val="22"/>
        </w:rPr>
      </w:pPr>
      <w:r w:rsidRPr="007F4E9F">
        <w:rPr>
          <w:b/>
          <w:bCs/>
          <w:sz w:val="22"/>
          <w:szCs w:val="22"/>
        </w:rPr>
        <w:t>La estructuración de u</w:t>
      </w:r>
      <w:r w:rsidR="00FA49A6" w:rsidRPr="007F4E9F">
        <w:rPr>
          <w:b/>
          <w:bCs/>
          <w:sz w:val="22"/>
          <w:szCs w:val="22"/>
        </w:rPr>
        <w:t>na estrategia de mercadeo</w:t>
      </w:r>
      <w:r w:rsidR="00FA1BC1" w:rsidRPr="007F4E9F">
        <w:rPr>
          <w:b/>
          <w:bCs/>
          <w:sz w:val="22"/>
          <w:szCs w:val="22"/>
        </w:rPr>
        <w:t xml:space="preserve"> </w:t>
      </w:r>
      <w:r w:rsidRPr="007F4E9F">
        <w:rPr>
          <w:sz w:val="22"/>
          <w:szCs w:val="22"/>
        </w:rPr>
        <w:t>es</w:t>
      </w:r>
      <w:r w:rsidRPr="007F4E9F">
        <w:rPr>
          <w:b/>
          <w:bCs/>
          <w:sz w:val="22"/>
          <w:szCs w:val="22"/>
        </w:rPr>
        <w:t xml:space="preserve"> </w:t>
      </w:r>
      <w:r w:rsidRPr="007F4E9F">
        <w:rPr>
          <w:sz w:val="22"/>
          <w:szCs w:val="22"/>
        </w:rPr>
        <w:t xml:space="preserve">otro factor habilitante importante, ya </w:t>
      </w:r>
      <w:r w:rsidR="00FA49A6" w:rsidRPr="007F4E9F">
        <w:rPr>
          <w:sz w:val="22"/>
          <w:szCs w:val="22"/>
        </w:rPr>
        <w:t xml:space="preserve">que promociona la plataforma en diferentes redes sociales, convoca a nuevos usuarios, desarrolla </w:t>
      </w:r>
      <w:r w:rsidR="00A32C46" w:rsidRPr="007F4E9F">
        <w:rPr>
          <w:sz w:val="22"/>
          <w:szCs w:val="22"/>
        </w:rPr>
        <w:t>materiales</w:t>
      </w:r>
      <w:r w:rsidR="00FA49A6" w:rsidRPr="007F4E9F">
        <w:rPr>
          <w:sz w:val="22"/>
          <w:szCs w:val="22"/>
        </w:rPr>
        <w:t xml:space="preserve"> de </w:t>
      </w:r>
      <w:r w:rsidR="00A32C46" w:rsidRPr="007F4E9F">
        <w:rPr>
          <w:sz w:val="22"/>
          <w:szCs w:val="22"/>
        </w:rPr>
        <w:t>comunicación y transferencia de conocimiento</w:t>
      </w:r>
      <w:r w:rsidR="00FA49A6" w:rsidRPr="007F4E9F">
        <w:rPr>
          <w:sz w:val="22"/>
          <w:szCs w:val="22"/>
        </w:rPr>
        <w:t xml:space="preserve"> y organiza eventos de mucho valor para profundizar en la economía circular, una economía circular que va más allá de los conceptos primarios donde abundan capacitaciones y trasciende a temas especializados como el p</w:t>
      </w:r>
      <w:r w:rsidR="00FA49A6" w:rsidRPr="007F4E9F">
        <w:rPr>
          <w:rFonts w:hint="eastAsia"/>
          <w:sz w:val="22"/>
          <w:szCs w:val="22"/>
        </w:rPr>
        <w:t xml:space="preserve">asaporte </w:t>
      </w:r>
      <w:r w:rsidR="00FA49A6" w:rsidRPr="007F4E9F">
        <w:rPr>
          <w:sz w:val="22"/>
          <w:szCs w:val="22"/>
        </w:rPr>
        <w:t>d</w:t>
      </w:r>
      <w:r w:rsidR="00FA49A6" w:rsidRPr="007F4E9F">
        <w:rPr>
          <w:rFonts w:hint="eastAsia"/>
          <w:sz w:val="22"/>
          <w:szCs w:val="22"/>
        </w:rPr>
        <w:t xml:space="preserve">igital de </w:t>
      </w:r>
      <w:r w:rsidR="00FA49A6" w:rsidRPr="007F4E9F">
        <w:rPr>
          <w:sz w:val="22"/>
          <w:szCs w:val="22"/>
        </w:rPr>
        <w:t>p</w:t>
      </w:r>
      <w:r w:rsidR="00FA49A6" w:rsidRPr="007F4E9F">
        <w:rPr>
          <w:rFonts w:hint="eastAsia"/>
          <w:sz w:val="22"/>
          <w:szCs w:val="22"/>
        </w:rPr>
        <w:t xml:space="preserve">roducto y </w:t>
      </w:r>
      <w:r w:rsidR="00FA49A6" w:rsidRPr="007F4E9F">
        <w:rPr>
          <w:sz w:val="22"/>
          <w:szCs w:val="22"/>
        </w:rPr>
        <w:t>r</w:t>
      </w:r>
      <w:r w:rsidR="00FA49A6" w:rsidRPr="007F4E9F">
        <w:rPr>
          <w:rFonts w:hint="eastAsia"/>
          <w:sz w:val="22"/>
          <w:szCs w:val="22"/>
        </w:rPr>
        <w:t xml:space="preserve">esponsabilidad </w:t>
      </w:r>
      <w:r w:rsidR="00FA49A6" w:rsidRPr="007F4E9F">
        <w:rPr>
          <w:sz w:val="22"/>
          <w:szCs w:val="22"/>
        </w:rPr>
        <w:t>e</w:t>
      </w:r>
      <w:r w:rsidR="00FA49A6" w:rsidRPr="007F4E9F">
        <w:rPr>
          <w:rFonts w:hint="eastAsia"/>
          <w:sz w:val="22"/>
          <w:szCs w:val="22"/>
        </w:rPr>
        <w:t xml:space="preserve">xtendida del </w:t>
      </w:r>
      <w:r w:rsidR="00FA49A6" w:rsidRPr="007F4E9F">
        <w:rPr>
          <w:sz w:val="22"/>
          <w:szCs w:val="22"/>
        </w:rPr>
        <w:t>p</w:t>
      </w:r>
      <w:r w:rsidR="00FA49A6" w:rsidRPr="007F4E9F">
        <w:rPr>
          <w:rFonts w:hint="eastAsia"/>
          <w:sz w:val="22"/>
          <w:szCs w:val="22"/>
        </w:rPr>
        <w:t>roductor (REP)</w:t>
      </w:r>
      <w:r w:rsidR="00FA49A6" w:rsidRPr="007F4E9F">
        <w:rPr>
          <w:sz w:val="22"/>
          <w:szCs w:val="22"/>
        </w:rPr>
        <w:t xml:space="preserve">; </w:t>
      </w:r>
      <w:r w:rsidR="00FA49A6" w:rsidRPr="007F4E9F">
        <w:rPr>
          <w:rFonts w:hint="eastAsia"/>
          <w:sz w:val="22"/>
          <w:szCs w:val="22"/>
        </w:rPr>
        <w:t>Circularidad en construcción, minería y residuos de construcción y demolición</w:t>
      </w:r>
      <w:r w:rsidR="00FA49A6" w:rsidRPr="007F4E9F">
        <w:rPr>
          <w:sz w:val="22"/>
          <w:szCs w:val="22"/>
        </w:rPr>
        <w:t xml:space="preserve">; </w:t>
      </w:r>
      <w:r w:rsidR="00FA49A6" w:rsidRPr="007F4E9F">
        <w:rPr>
          <w:rFonts w:hint="eastAsia"/>
          <w:sz w:val="22"/>
          <w:szCs w:val="22"/>
        </w:rPr>
        <w:t>Ecoetiquetas, análisis de ciclo de vida y declaraciones ambientales de producto</w:t>
      </w:r>
      <w:r w:rsidR="00FA49A6" w:rsidRPr="007F4E9F">
        <w:rPr>
          <w:sz w:val="22"/>
          <w:szCs w:val="22"/>
        </w:rPr>
        <w:t xml:space="preserve">; </w:t>
      </w:r>
      <w:r w:rsidR="00FA49A6" w:rsidRPr="007F4E9F">
        <w:rPr>
          <w:rFonts w:hint="eastAsia"/>
          <w:sz w:val="22"/>
          <w:szCs w:val="22"/>
        </w:rPr>
        <w:t>Indicadores de circularidad y medición de impactos</w:t>
      </w:r>
      <w:r w:rsidR="00FA49A6" w:rsidRPr="007F4E9F">
        <w:rPr>
          <w:sz w:val="22"/>
          <w:szCs w:val="22"/>
        </w:rPr>
        <w:t>; entre otros.</w:t>
      </w:r>
    </w:p>
    <w:p w14:paraId="393D79D5" w14:textId="19AF7EA2" w:rsidR="008479E2" w:rsidRPr="007F4E9F" w:rsidRDefault="008479E2" w:rsidP="0032235A">
      <w:pPr>
        <w:pStyle w:val="NormalWeb"/>
        <w:jc w:val="both"/>
        <w:rPr>
          <w:sz w:val="22"/>
          <w:szCs w:val="22"/>
        </w:rPr>
      </w:pPr>
      <w:r w:rsidRPr="007F4E9F">
        <w:rPr>
          <w:b/>
          <w:bCs/>
          <w:sz w:val="22"/>
          <w:szCs w:val="22"/>
        </w:rPr>
        <w:t xml:space="preserve">Contar con un profesional </w:t>
      </w:r>
      <w:r w:rsidR="009C01DF" w:rsidRPr="007F4E9F">
        <w:rPr>
          <w:b/>
          <w:bCs/>
          <w:sz w:val="22"/>
          <w:szCs w:val="22"/>
        </w:rPr>
        <w:t>TI</w:t>
      </w:r>
      <w:r w:rsidR="009C01DF" w:rsidRPr="007F4E9F">
        <w:rPr>
          <w:sz w:val="22"/>
          <w:szCs w:val="22"/>
        </w:rPr>
        <w:t xml:space="preserve"> </w:t>
      </w:r>
      <w:r w:rsidR="00131E16" w:rsidRPr="007F4E9F">
        <w:rPr>
          <w:b/>
          <w:bCs/>
          <w:sz w:val="22"/>
          <w:szCs w:val="22"/>
        </w:rPr>
        <w:t>dedicado</w:t>
      </w:r>
      <w:r w:rsidR="00131E16" w:rsidRPr="007F4E9F">
        <w:rPr>
          <w:sz w:val="22"/>
          <w:szCs w:val="22"/>
        </w:rPr>
        <w:t xml:space="preserve"> </w:t>
      </w:r>
      <w:r w:rsidR="009C01DF" w:rsidRPr="007F4E9F">
        <w:rPr>
          <w:sz w:val="22"/>
          <w:szCs w:val="22"/>
        </w:rPr>
        <w:t>durante un tiempo, permitió identificar fallos, oportunidades de mejora, mantener el portal en funcionamiento y dejar rutas de mejora claras que de ser implementadas permitirán la sostenibilidad y funcionalidad éxitos del Marketplace. Por lo tanto, mantener a un profesional dedicado es fundamental, adicionalmente es necesario descentralizar la operación del Marketplace de la oficina de TI de la SDA para lograr que los ajustes, actualizaciones y mejoras se logren implementar.</w:t>
      </w:r>
    </w:p>
    <w:p w14:paraId="580493BA" w14:textId="1CF0EDAD" w:rsidR="008479E2" w:rsidRPr="007F4E9F" w:rsidRDefault="00131E16" w:rsidP="0032235A">
      <w:pPr>
        <w:pStyle w:val="NormalWeb"/>
        <w:jc w:val="both"/>
        <w:rPr>
          <w:b/>
          <w:bCs/>
          <w:sz w:val="22"/>
          <w:szCs w:val="22"/>
        </w:rPr>
      </w:pPr>
      <w:r w:rsidRPr="007F4E9F">
        <w:rPr>
          <w:b/>
          <w:bCs/>
          <w:sz w:val="22"/>
          <w:szCs w:val="22"/>
        </w:rPr>
        <w:t xml:space="preserve">La validación de productos con actores, </w:t>
      </w:r>
      <w:r w:rsidRPr="007F4E9F">
        <w:rPr>
          <w:sz w:val="22"/>
          <w:szCs w:val="22"/>
        </w:rPr>
        <w:t xml:space="preserve">especialmente en el componente 2, le dio validez al ejercicio de fortalecimiento regulatorio y permitió ratificar los hallazgos de la empresa consultora y mejorar sus entregables finales para </w:t>
      </w:r>
      <w:r w:rsidR="00BD1D3A" w:rsidRPr="007F4E9F">
        <w:rPr>
          <w:sz w:val="22"/>
          <w:szCs w:val="22"/>
        </w:rPr>
        <w:t>entregar recomendaciones más pertinentes al contexto local y regional. Así mismo permitió mejorar la propuesta del modelo de gobernanza fundamental para la sostenibilidad de la plataforma regional de economía circular.</w:t>
      </w:r>
    </w:p>
    <w:p w14:paraId="7AADA217" w14:textId="47B524CE" w:rsidR="00500603" w:rsidRPr="007F4E9F" w:rsidRDefault="0038004E" w:rsidP="0032235A">
      <w:pPr>
        <w:pStyle w:val="NormalWeb"/>
        <w:jc w:val="both"/>
        <w:rPr>
          <w:sz w:val="22"/>
          <w:szCs w:val="22"/>
        </w:rPr>
      </w:pPr>
      <w:r w:rsidRPr="007F4E9F">
        <w:rPr>
          <w:sz w:val="22"/>
          <w:szCs w:val="22"/>
        </w:rPr>
        <w:t>Finalmente,</w:t>
      </w:r>
      <w:r w:rsidR="00EB0D2A" w:rsidRPr="007F4E9F">
        <w:rPr>
          <w:sz w:val="22"/>
          <w:szCs w:val="22"/>
        </w:rPr>
        <w:t xml:space="preserve"> un factor habilitante estructural es el diseño </w:t>
      </w:r>
      <w:r w:rsidR="00EB0D2A" w:rsidRPr="007F4E9F">
        <w:rPr>
          <w:b/>
          <w:bCs/>
          <w:sz w:val="22"/>
          <w:szCs w:val="22"/>
        </w:rPr>
        <w:t xml:space="preserve">del modelo de gobernanza </w:t>
      </w:r>
      <w:r w:rsidRPr="007F4E9F">
        <w:rPr>
          <w:b/>
          <w:bCs/>
          <w:sz w:val="22"/>
          <w:szCs w:val="22"/>
        </w:rPr>
        <w:t xml:space="preserve">multinivel, multiescala y mutiactor </w:t>
      </w:r>
      <w:r w:rsidRPr="007F4E9F">
        <w:rPr>
          <w:sz w:val="22"/>
          <w:szCs w:val="22"/>
        </w:rPr>
        <w:t>con sus respectivos mecanismos de coordinación</w:t>
      </w:r>
      <w:r w:rsidR="00117707" w:rsidRPr="007F4E9F">
        <w:rPr>
          <w:sz w:val="22"/>
          <w:szCs w:val="22"/>
        </w:rPr>
        <w:t>.</w:t>
      </w:r>
      <w:r w:rsidR="002E48D7" w:rsidRPr="007F4E9F">
        <w:rPr>
          <w:sz w:val="22"/>
          <w:szCs w:val="22"/>
        </w:rPr>
        <w:t xml:space="preserve"> En la medida que la plataforma se rija por este modelo tiene una posibilidad mayor de permanecer, ajustarse y consolidarse</w:t>
      </w:r>
      <w:r w:rsidR="002D0247" w:rsidRPr="007F4E9F">
        <w:rPr>
          <w:sz w:val="22"/>
          <w:szCs w:val="22"/>
        </w:rPr>
        <w:t xml:space="preserve"> en el tiempo para servir como un activo regional en economía circular.</w:t>
      </w:r>
    </w:p>
    <w:p w14:paraId="3FFA07EE" w14:textId="51D9F81A" w:rsidR="0032192F" w:rsidRPr="007F4E9F" w:rsidRDefault="0032192F" w:rsidP="0032235A">
      <w:pPr>
        <w:pStyle w:val="Heading2"/>
        <w:jc w:val="both"/>
        <w:rPr>
          <w:rFonts w:ascii="Times New Roman" w:hAnsi="Times New Roman" w:cs="Times New Roman"/>
          <w:sz w:val="22"/>
          <w:szCs w:val="22"/>
        </w:rPr>
      </w:pPr>
      <w:bookmarkStart w:id="133" w:name="_Toc221539852"/>
      <w:bookmarkStart w:id="134" w:name="_Toc226750237"/>
      <w:r w:rsidRPr="007F4E9F">
        <w:rPr>
          <w:rFonts w:ascii="Times New Roman" w:hAnsi="Times New Roman" w:cs="Times New Roman"/>
          <w:sz w:val="22"/>
          <w:szCs w:val="22"/>
        </w:rPr>
        <w:t>Factores limitantes de la implementación</w:t>
      </w:r>
      <w:bookmarkEnd w:id="133"/>
      <w:bookmarkEnd w:id="134"/>
      <w:r w:rsidR="00117707" w:rsidRPr="007F4E9F">
        <w:rPr>
          <w:rFonts w:ascii="Times New Roman" w:hAnsi="Times New Roman" w:cs="Times New Roman"/>
          <w:sz w:val="22"/>
          <w:szCs w:val="22"/>
        </w:rPr>
        <w:t xml:space="preserve"> </w:t>
      </w:r>
    </w:p>
    <w:p w14:paraId="320FE765" w14:textId="5FCFCAEB" w:rsidR="002E5865" w:rsidRPr="007F4E9F" w:rsidRDefault="002E5865" w:rsidP="0032235A">
      <w:pPr>
        <w:jc w:val="both"/>
        <w:rPr>
          <w:rFonts w:ascii="Times New Roman" w:hAnsi="Times New Roman"/>
        </w:rPr>
      </w:pPr>
      <w:r w:rsidRPr="007F4E9F">
        <w:rPr>
          <w:rFonts w:ascii="Times New Roman" w:hAnsi="Times New Roman"/>
        </w:rPr>
        <w:t>Se identifican una serie de factores limitantes en la implementación y sostenibilidad del proyecto en la medida que limitaron una implementación más efectiva del Marketplace (Componente 1) como producto central del proyecto y la implementación de los demás componentes en espacios de tiempo más adecuados para lograr los objetivos esperados.</w:t>
      </w:r>
    </w:p>
    <w:p w14:paraId="41A87C0D" w14:textId="40A860AF" w:rsidR="002E5865" w:rsidRPr="007F4E9F" w:rsidRDefault="002E5865" w:rsidP="0032235A">
      <w:pPr>
        <w:jc w:val="both"/>
        <w:rPr>
          <w:rFonts w:ascii="Times New Roman" w:hAnsi="Times New Roman"/>
        </w:rPr>
      </w:pPr>
      <w:r w:rsidRPr="007F4E9F">
        <w:rPr>
          <w:rFonts w:ascii="Times New Roman" w:hAnsi="Times New Roman"/>
        </w:rPr>
        <w:t xml:space="preserve">El primer factor limitante reconocido responde a la </w:t>
      </w:r>
      <w:r w:rsidRPr="007F4E9F">
        <w:rPr>
          <w:rFonts w:ascii="Times New Roman" w:hAnsi="Times New Roman"/>
          <w:b/>
          <w:bCs/>
        </w:rPr>
        <w:t>diversidad de cambios</w:t>
      </w:r>
      <w:r w:rsidRPr="007F4E9F">
        <w:rPr>
          <w:rFonts w:ascii="Times New Roman" w:hAnsi="Times New Roman"/>
        </w:rPr>
        <w:t xml:space="preserve"> presentados en los equipos formuladores y ejecutores del proyecto. Cambios de gobiernos municipales; cambios en la supervisión y de equipos administrativos; restructuración interna del funcionamiento de oficinas, especialmente la de TI; Restricciones a la contratación por </w:t>
      </w:r>
      <w:r w:rsidR="006A6BE1" w:rsidRPr="007F4E9F">
        <w:rPr>
          <w:rFonts w:ascii="Times New Roman" w:hAnsi="Times New Roman"/>
        </w:rPr>
        <w:t>contextos electorales (Ley de garantías) entre otras cosas que limitaron o cambiaron los flujos de trabajo propuestos.</w:t>
      </w:r>
    </w:p>
    <w:p w14:paraId="1691FF54" w14:textId="7ACAC41E" w:rsidR="006A6BE1" w:rsidRPr="007F4E9F" w:rsidRDefault="006A6BE1" w:rsidP="0032235A">
      <w:pPr>
        <w:jc w:val="both"/>
        <w:rPr>
          <w:rFonts w:ascii="Times New Roman" w:hAnsi="Times New Roman"/>
        </w:rPr>
      </w:pPr>
      <w:r w:rsidRPr="007F4E9F">
        <w:rPr>
          <w:rFonts w:ascii="Times New Roman" w:hAnsi="Times New Roman"/>
        </w:rPr>
        <w:t xml:space="preserve">Aunque es inherente a la administración pública en Bogotá, </w:t>
      </w:r>
      <w:r w:rsidRPr="007F4E9F">
        <w:rPr>
          <w:rFonts w:ascii="Times New Roman" w:hAnsi="Times New Roman"/>
          <w:b/>
          <w:bCs/>
        </w:rPr>
        <w:t>la administración centralizada de los recursos</w:t>
      </w:r>
      <w:r w:rsidRPr="007F4E9F">
        <w:rPr>
          <w:rFonts w:ascii="Times New Roman" w:hAnsi="Times New Roman"/>
        </w:rPr>
        <w:t xml:space="preserve"> por parte de la </w:t>
      </w:r>
      <w:r w:rsidR="00491DE6" w:rsidRPr="007F4E9F">
        <w:rPr>
          <w:rFonts w:ascii="Times New Roman" w:hAnsi="Times New Roman"/>
        </w:rPr>
        <w:t>S</w:t>
      </w:r>
      <w:r w:rsidRPr="007F4E9F">
        <w:rPr>
          <w:rFonts w:ascii="Times New Roman" w:hAnsi="Times New Roman"/>
        </w:rPr>
        <w:t xml:space="preserve">ecretaría </w:t>
      </w:r>
      <w:r w:rsidR="00491DE6" w:rsidRPr="007F4E9F">
        <w:rPr>
          <w:rFonts w:ascii="Times New Roman" w:hAnsi="Times New Roman"/>
        </w:rPr>
        <w:t xml:space="preserve">Distrital </w:t>
      </w:r>
      <w:r w:rsidRPr="007F4E9F">
        <w:rPr>
          <w:rFonts w:ascii="Times New Roman" w:hAnsi="Times New Roman"/>
        </w:rPr>
        <w:t xml:space="preserve">de Hacienda y el sometimiento de un contrato con banca multilateral a las normas de contratación de la ley 80, complejizó y ralentizó las contrataciones, dejando poco margen de maniobra en el tiempo. Esto ocasionó que algunos componentes tuvieran grandes alcances como el componente 2 y se ejecutan en periodos de tiempo muy cortos o que componentes habilitantes como el fortalecimiento empresarial del componente 3 no lograran implementarse. </w:t>
      </w:r>
    </w:p>
    <w:p w14:paraId="20019A46" w14:textId="3473D6AF" w:rsidR="006A6BE1" w:rsidRPr="007F4E9F" w:rsidRDefault="006A6BE1" w:rsidP="0032235A">
      <w:pPr>
        <w:jc w:val="both"/>
        <w:rPr>
          <w:rFonts w:ascii="Times New Roman" w:hAnsi="Times New Roman"/>
        </w:rPr>
      </w:pPr>
      <w:r w:rsidRPr="007F4E9F">
        <w:rPr>
          <w:rFonts w:ascii="Times New Roman" w:hAnsi="Times New Roman"/>
          <w:b/>
          <w:bCs/>
        </w:rPr>
        <w:t>La complejidad tecnológica del proyecto</w:t>
      </w:r>
      <w:r w:rsidRPr="007F4E9F">
        <w:rPr>
          <w:rFonts w:ascii="Times New Roman" w:hAnsi="Times New Roman"/>
        </w:rPr>
        <w:t xml:space="preserve"> al incluir una plataforma digital ejecutada por un organismo con misionalidad de autoridad ambiental enfrentó barreras en la supervisión del contrato del componente 1. La dependencia de la oficina de TI de la Secretaría que tenía unas prioridades diferentes, no permitió identificar fallos apremiantes en la plataforma diseñada dentro de los tiempos de ejecución y garantía que hubieran garantizado una plataforma más funcional.</w:t>
      </w:r>
    </w:p>
    <w:p w14:paraId="5AFFB64A" w14:textId="57F94346" w:rsidR="006A6BE1" w:rsidRPr="007F4E9F" w:rsidRDefault="0005508F" w:rsidP="0032235A">
      <w:pPr>
        <w:jc w:val="both"/>
        <w:rPr>
          <w:rFonts w:ascii="Times New Roman" w:hAnsi="Times New Roman"/>
        </w:rPr>
      </w:pPr>
      <w:r w:rsidRPr="007F4E9F">
        <w:rPr>
          <w:rFonts w:ascii="Times New Roman" w:hAnsi="Times New Roman"/>
        </w:rPr>
        <w:t xml:space="preserve">El desarrollo de un </w:t>
      </w:r>
      <w:r w:rsidRPr="007F4E9F">
        <w:rPr>
          <w:rFonts w:ascii="Times New Roman" w:hAnsi="Times New Roman"/>
          <w:b/>
          <w:bCs/>
        </w:rPr>
        <w:t xml:space="preserve">proyecto </w:t>
      </w:r>
      <w:r w:rsidR="00FA1BC1" w:rsidRPr="007F4E9F">
        <w:rPr>
          <w:rFonts w:ascii="Times New Roman" w:hAnsi="Times New Roman"/>
          <w:b/>
          <w:bCs/>
        </w:rPr>
        <w:t>muticiudad</w:t>
      </w:r>
      <w:r w:rsidRPr="007F4E9F">
        <w:rPr>
          <w:rFonts w:ascii="Times New Roman" w:hAnsi="Times New Roman"/>
          <w:b/>
          <w:bCs/>
        </w:rPr>
        <w:t xml:space="preserve"> sin responsabilidades vinculantes y sin un plan de trabajo y comunicaciones colaborativo </w:t>
      </w:r>
      <w:r w:rsidRPr="007F4E9F">
        <w:rPr>
          <w:rFonts w:ascii="Times New Roman" w:hAnsi="Times New Roman"/>
        </w:rPr>
        <w:t>para las ciudades beneficiarias diferentes a la ciudad ejecutora, limitó los alcances del proyecto en estas ciudades. Pese a la participación sostenida de representantes de los organismos definidos en el comité directivo, en los espacios de validación del componente 2 y en las entrevistas, encuestas y grupos focales de esta evaluación se mantuvo la percepción que la plataforma era poco conocida en Santiago de Chile y Quito y por lo tanto se cuenta con muy pocas empresas de estas ciudades inscritas en la plataforma.</w:t>
      </w:r>
    </w:p>
    <w:p w14:paraId="24B692D0" w14:textId="6CB90CA5" w:rsidR="006A6BE1" w:rsidRPr="007F4E9F" w:rsidRDefault="0005508F" w:rsidP="0032235A">
      <w:pPr>
        <w:jc w:val="both"/>
        <w:rPr>
          <w:rFonts w:ascii="Times New Roman" w:hAnsi="Times New Roman"/>
        </w:rPr>
      </w:pPr>
      <w:r w:rsidRPr="007F4E9F">
        <w:rPr>
          <w:rFonts w:ascii="Times New Roman" w:hAnsi="Times New Roman"/>
        </w:rPr>
        <w:t xml:space="preserve">El </w:t>
      </w:r>
      <w:r w:rsidRPr="007F4E9F">
        <w:rPr>
          <w:rFonts w:ascii="Times New Roman" w:hAnsi="Times New Roman"/>
          <w:b/>
          <w:bCs/>
        </w:rPr>
        <w:t>inicio de la implementación con el diseño del Marketplace</w:t>
      </w:r>
      <w:r w:rsidRPr="007F4E9F">
        <w:rPr>
          <w:rFonts w:ascii="Times New Roman" w:hAnsi="Times New Roman"/>
        </w:rPr>
        <w:t xml:space="preserve"> entes de la implementación de los componentes 2 y 3 que eran habilitantes para la plataforma, significó, reprocesos en el análisis normativo </w:t>
      </w:r>
      <w:r w:rsidR="003E2785" w:rsidRPr="007F4E9F">
        <w:rPr>
          <w:rFonts w:ascii="Times New Roman" w:hAnsi="Times New Roman"/>
        </w:rPr>
        <w:t>más</w:t>
      </w:r>
      <w:r w:rsidRPr="007F4E9F">
        <w:rPr>
          <w:rFonts w:ascii="Times New Roman" w:hAnsi="Times New Roman"/>
        </w:rPr>
        <w:t xml:space="preserve"> exhaustivo en el componente 2 que aportaba a una priorización más estructurada de los sectores con marcos regulatorios más maduros y con menores barreras para el comercio circular. Así mismo, aunque </w:t>
      </w:r>
      <w:r w:rsidR="000D035C" w:rsidRPr="007F4E9F">
        <w:rPr>
          <w:rFonts w:ascii="Times New Roman" w:hAnsi="Times New Roman"/>
        </w:rPr>
        <w:t>bien estructurado y valioso</w:t>
      </w:r>
      <w:r w:rsidRPr="007F4E9F">
        <w:rPr>
          <w:rFonts w:ascii="Times New Roman" w:hAnsi="Times New Roman"/>
        </w:rPr>
        <w:t xml:space="preserve">, se </w:t>
      </w:r>
      <w:r w:rsidR="000D035C" w:rsidRPr="007F4E9F">
        <w:rPr>
          <w:rFonts w:ascii="Times New Roman" w:hAnsi="Times New Roman"/>
        </w:rPr>
        <w:t>definió</w:t>
      </w:r>
      <w:r w:rsidRPr="007F4E9F">
        <w:rPr>
          <w:rFonts w:ascii="Times New Roman" w:hAnsi="Times New Roman"/>
        </w:rPr>
        <w:t xml:space="preserve"> </w:t>
      </w:r>
      <w:r w:rsidR="000D035C" w:rsidRPr="007F4E9F">
        <w:rPr>
          <w:rFonts w:ascii="Times New Roman" w:hAnsi="Times New Roman"/>
        </w:rPr>
        <w:t xml:space="preserve">un modelo de gobernanza para la plataforma cuando ya estaba funcionando, haber trabajado en el modelo de gobernanza, hubiera redundado en una plataforma que respondiera mejor a la articulación multinivel, multiescalar y </w:t>
      </w:r>
      <w:r w:rsidR="00FA1BC1" w:rsidRPr="007F4E9F">
        <w:rPr>
          <w:rFonts w:ascii="Times New Roman" w:hAnsi="Times New Roman"/>
        </w:rPr>
        <w:t>muticiudad</w:t>
      </w:r>
      <w:r w:rsidR="000D035C" w:rsidRPr="007F4E9F">
        <w:rPr>
          <w:rFonts w:ascii="Times New Roman" w:hAnsi="Times New Roman"/>
        </w:rPr>
        <w:t xml:space="preserve">. </w:t>
      </w:r>
    </w:p>
    <w:p w14:paraId="153F0220" w14:textId="6F20D998" w:rsidR="000D035C" w:rsidRPr="007F4E9F" w:rsidRDefault="000D035C" w:rsidP="0032235A">
      <w:pPr>
        <w:jc w:val="both"/>
        <w:rPr>
          <w:rFonts w:ascii="Times New Roman" w:hAnsi="Times New Roman"/>
        </w:rPr>
      </w:pPr>
      <w:r w:rsidRPr="007F4E9F">
        <w:rPr>
          <w:rFonts w:ascii="Times New Roman" w:hAnsi="Times New Roman"/>
          <w:b/>
          <w:bCs/>
        </w:rPr>
        <w:t>Los fallos estructurales de la plataforma</w:t>
      </w:r>
      <w:r w:rsidRPr="007F4E9F">
        <w:rPr>
          <w:rFonts w:ascii="Times New Roman" w:hAnsi="Times New Roman"/>
        </w:rPr>
        <w:t>, más detallados en el informe del profesional TI, lanzaron una plataforma funcional, pero con riesgos en su operatividad y sostenibilidad. Esto se ha visto reflejado en la baja retención de usuarios y en casi nulo reporte de transacciones o contactos entre los usuarios. Los esfuerzos en mercadeo para la escalabilidad se ven limitados o faltan al cumplimiento de la propuesta de valor de la plataforma hasta que no se resuelvan los asuntos tecnológicos imperantes.</w:t>
      </w:r>
    </w:p>
    <w:p w14:paraId="57EFD370" w14:textId="484C91C6" w:rsidR="000D035C" w:rsidRPr="007F4E9F" w:rsidRDefault="000D035C" w:rsidP="0032235A">
      <w:pPr>
        <w:jc w:val="both"/>
        <w:rPr>
          <w:rFonts w:ascii="Times New Roman" w:hAnsi="Times New Roman"/>
        </w:rPr>
      </w:pPr>
      <w:r w:rsidRPr="007F4E9F">
        <w:rPr>
          <w:rFonts w:ascii="Times New Roman" w:hAnsi="Times New Roman"/>
          <w:b/>
          <w:bCs/>
        </w:rPr>
        <w:t xml:space="preserve">El periodo de tiempo corto para la implementación del componente 2, </w:t>
      </w:r>
      <w:r w:rsidRPr="007F4E9F">
        <w:rPr>
          <w:rFonts w:ascii="Times New Roman" w:hAnsi="Times New Roman"/>
        </w:rPr>
        <w:t>no permite ver los resultados del componente más allá de los documentos escritos de gran valor. Esto dado porque los tiempos de actualización de políticas y normas exigen tiempos mayores a dos años y dependen de la agenda legislativa de las ciudades.</w:t>
      </w:r>
    </w:p>
    <w:p w14:paraId="3C8130D2" w14:textId="015CFE33" w:rsidR="00D162BE" w:rsidRPr="007F4E9F" w:rsidRDefault="000D035C" w:rsidP="0032235A">
      <w:pPr>
        <w:jc w:val="both"/>
        <w:rPr>
          <w:rFonts w:ascii="Times New Roman" w:hAnsi="Times New Roman"/>
        </w:rPr>
      </w:pPr>
      <w:r w:rsidRPr="007F4E9F">
        <w:rPr>
          <w:rFonts w:ascii="Times New Roman" w:hAnsi="Times New Roman"/>
        </w:rPr>
        <w:t xml:space="preserve">Finalmente, </w:t>
      </w:r>
      <w:r w:rsidRPr="007F4E9F">
        <w:rPr>
          <w:rFonts w:ascii="Times New Roman" w:hAnsi="Times New Roman"/>
          <w:b/>
          <w:bCs/>
        </w:rPr>
        <w:t xml:space="preserve">el poco tiempo </w:t>
      </w:r>
      <w:r w:rsidR="00D162BE" w:rsidRPr="007F4E9F">
        <w:rPr>
          <w:rFonts w:ascii="Times New Roman" w:hAnsi="Times New Roman"/>
          <w:b/>
          <w:bCs/>
        </w:rPr>
        <w:t>transcurrido</w:t>
      </w:r>
      <w:r w:rsidRPr="007F4E9F">
        <w:rPr>
          <w:rFonts w:ascii="Times New Roman" w:hAnsi="Times New Roman"/>
          <w:b/>
          <w:bCs/>
        </w:rPr>
        <w:t xml:space="preserve"> entre la propuesta del modelo de gobernanza y su implementación </w:t>
      </w:r>
      <w:r w:rsidR="00D162BE" w:rsidRPr="007F4E9F">
        <w:rPr>
          <w:rFonts w:ascii="Times New Roman" w:hAnsi="Times New Roman"/>
        </w:rPr>
        <w:t>representan un factor limitante estructural</w:t>
      </w:r>
      <w:r w:rsidR="00D162BE" w:rsidRPr="007F4E9F">
        <w:rPr>
          <w:rFonts w:ascii="Times New Roman" w:hAnsi="Times New Roman"/>
          <w:b/>
          <w:bCs/>
        </w:rPr>
        <w:t xml:space="preserve">. </w:t>
      </w:r>
      <w:r w:rsidR="00D162BE" w:rsidRPr="007F4E9F">
        <w:rPr>
          <w:rFonts w:ascii="Times New Roman" w:hAnsi="Times New Roman"/>
        </w:rPr>
        <w:t>Es recomendable contar con</w:t>
      </w:r>
      <w:r w:rsidR="00D162BE" w:rsidRPr="007F4E9F">
        <w:rPr>
          <w:rFonts w:ascii="Times New Roman" w:hAnsi="Times New Roman"/>
          <w:b/>
          <w:bCs/>
        </w:rPr>
        <w:t xml:space="preserve"> </w:t>
      </w:r>
      <w:r w:rsidR="00D162BE" w:rsidRPr="007F4E9F">
        <w:rPr>
          <w:rFonts w:ascii="Times New Roman" w:hAnsi="Times New Roman"/>
        </w:rPr>
        <w:t xml:space="preserve">un tiempo adicional para que se alcance la consolidación del modelo de gobernanza, previamente antecedido por el cubrimiento de la deuda técnica del Marketplace. </w:t>
      </w:r>
    </w:p>
    <w:p w14:paraId="4D992C8A" w14:textId="77777777" w:rsidR="00432A91" w:rsidRDefault="00432A91" w:rsidP="00432A91">
      <w:pPr>
        <w:pStyle w:val="Heading1"/>
      </w:pPr>
      <w:bookmarkStart w:id="135" w:name="_Toc226750238"/>
      <w:r w:rsidRPr="00432A91">
        <w:t>Identificación de buenas prácticas y lecciones aprendidas, con énfasis en experiencias transferibles</w:t>
      </w:r>
      <w:bookmarkEnd w:id="135"/>
      <w:r w:rsidRPr="00432A91">
        <w:t xml:space="preserve"> </w:t>
      </w:r>
    </w:p>
    <w:p w14:paraId="4EDC8347" w14:textId="56C48E6F" w:rsidR="00AA6F9C" w:rsidRPr="007F4E9F" w:rsidRDefault="00AA6F9C" w:rsidP="0032235A">
      <w:pPr>
        <w:pStyle w:val="NormalWeb"/>
        <w:jc w:val="both"/>
        <w:rPr>
          <w:sz w:val="22"/>
          <w:szCs w:val="22"/>
        </w:rPr>
      </w:pPr>
      <w:r w:rsidRPr="007F4E9F">
        <w:rPr>
          <w:sz w:val="22"/>
          <w:szCs w:val="22"/>
        </w:rPr>
        <w:t>A continuación, se procede a desarrollar cada uno de estos temas empezando por las conclusiones sobre pertinencia, siguiendo con las conclusiones obre sostenibilidad y terminando con las posibles buenas prácticas</w:t>
      </w:r>
      <w:r w:rsidR="002947FC" w:rsidRPr="007F4E9F">
        <w:rPr>
          <w:sz w:val="22"/>
          <w:szCs w:val="22"/>
        </w:rPr>
        <w:t xml:space="preserve"> para los componentes 1 y 2 del proyecto</w:t>
      </w:r>
      <w:r w:rsidRPr="007F4E9F">
        <w:rPr>
          <w:sz w:val="22"/>
          <w:szCs w:val="22"/>
        </w:rPr>
        <w:t xml:space="preserve">. </w:t>
      </w:r>
    </w:p>
    <w:p w14:paraId="452DA087" w14:textId="41DBA868" w:rsidR="00AA6F9C" w:rsidRPr="007F4E9F" w:rsidRDefault="00AA6F9C" w:rsidP="0032235A">
      <w:pPr>
        <w:pStyle w:val="Heading2"/>
        <w:jc w:val="both"/>
        <w:rPr>
          <w:rFonts w:ascii="Times New Roman" w:hAnsi="Times New Roman"/>
          <w:sz w:val="22"/>
        </w:rPr>
      </w:pPr>
      <w:bookmarkStart w:id="136" w:name="_Toc226750239"/>
      <w:r w:rsidRPr="007F4E9F">
        <w:rPr>
          <w:rFonts w:ascii="Times New Roman" w:hAnsi="Times New Roman"/>
          <w:sz w:val="22"/>
        </w:rPr>
        <w:t>Conclusiones sobre pertinencia</w:t>
      </w:r>
      <w:bookmarkEnd w:id="136"/>
      <w:r w:rsidRPr="007F4E9F">
        <w:rPr>
          <w:rFonts w:ascii="Times New Roman" w:hAnsi="Times New Roman"/>
          <w:sz w:val="22"/>
        </w:rPr>
        <w:t xml:space="preserve"> </w:t>
      </w:r>
    </w:p>
    <w:p w14:paraId="42A12A62" w14:textId="77777777" w:rsidR="002947FC" w:rsidRPr="007F4E9F" w:rsidRDefault="002947FC" w:rsidP="0032235A">
      <w:pPr>
        <w:jc w:val="both"/>
        <w:rPr>
          <w:rFonts w:ascii="Times New Roman" w:hAnsi="Times New Roman"/>
        </w:rPr>
      </w:pPr>
      <w:r w:rsidRPr="007F4E9F">
        <w:rPr>
          <w:rFonts w:ascii="Times New Roman" w:hAnsi="Times New Roman"/>
        </w:rPr>
        <w:t>Como es sabido, el criterio de pertinencia se desarrolló ampliamente para cada uno de los componentes y para cada uno de sus alcances, incluyendo las percepciones de los grupos de interés. Por lo tanto, este apartado se concentrará en sintetizar los hallazgos a manera de conclusiones tanto de la evaluación técnica como de las percepciones de los actores clave:</w:t>
      </w:r>
    </w:p>
    <w:p w14:paraId="22D86BEF" w14:textId="62A9D215" w:rsidR="002947FC" w:rsidRPr="007F4E9F" w:rsidRDefault="002947FC" w:rsidP="0032235A">
      <w:pPr>
        <w:pStyle w:val="Subtitle"/>
        <w:jc w:val="both"/>
        <w:rPr>
          <w:rFonts w:ascii="Times New Roman" w:hAnsi="Times New Roman"/>
          <w:sz w:val="22"/>
        </w:rPr>
      </w:pPr>
      <w:r w:rsidRPr="007F4E9F">
        <w:rPr>
          <w:rFonts w:ascii="Times New Roman" w:hAnsi="Times New Roman"/>
          <w:sz w:val="22"/>
        </w:rPr>
        <w:t>Componente 1</w:t>
      </w:r>
    </w:p>
    <w:p w14:paraId="59A9FEB9" w14:textId="2F7F837F" w:rsidR="00D26268" w:rsidRPr="007F4E9F" w:rsidRDefault="00EE1283" w:rsidP="0032235A">
      <w:pPr>
        <w:jc w:val="both"/>
        <w:rPr>
          <w:rFonts w:ascii="Times New Roman" w:hAnsi="Times New Roman"/>
        </w:rPr>
      </w:pPr>
      <w:r w:rsidRPr="007F4E9F">
        <w:rPr>
          <w:rFonts w:ascii="Times New Roman" w:hAnsi="Times New Roman"/>
        </w:rPr>
        <w:t>Con respecto a la</w:t>
      </w:r>
      <w:r w:rsidR="005A0F36" w:rsidRPr="007F4E9F">
        <w:rPr>
          <w:rFonts w:ascii="Times New Roman" w:hAnsi="Times New Roman"/>
        </w:rPr>
        <w:t xml:space="preserve"> </w:t>
      </w:r>
      <w:r w:rsidR="005A0F36" w:rsidRPr="007F4E9F">
        <w:rPr>
          <w:rFonts w:ascii="Times New Roman" w:hAnsi="Times New Roman"/>
          <w:b/>
          <w:bCs/>
        </w:rPr>
        <w:t>adecuación a los contextos urbanos y sectoriales</w:t>
      </w:r>
      <w:r w:rsidR="005A0F36" w:rsidRPr="007F4E9F">
        <w:rPr>
          <w:rFonts w:ascii="Times New Roman" w:hAnsi="Times New Roman"/>
        </w:rPr>
        <w:t xml:space="preserve">, la  </w:t>
      </w:r>
      <w:r w:rsidRPr="007F4E9F">
        <w:rPr>
          <w:rFonts w:ascii="Times New Roman" w:hAnsi="Times New Roman"/>
        </w:rPr>
        <w:t xml:space="preserve"> intervención presenta un alto nivel de adecuación a los contextos urbanos y productivos de las ciudades participantes. El proceso de diseño del Marketplace incorporó análisis sectoriales específicos por ciudad, utilizando criterios económicos, regulatorios y de potencial circular, además de ejercicios de concertación con los comités directivos locales. </w:t>
      </w:r>
    </w:p>
    <w:p w14:paraId="5DB6F858" w14:textId="77777777" w:rsidR="00491DE6" w:rsidRPr="007F4E9F" w:rsidRDefault="00491DE6" w:rsidP="00491DE6">
      <w:pPr>
        <w:spacing w:line="240" w:lineRule="auto"/>
        <w:jc w:val="both"/>
        <w:rPr>
          <w:rFonts w:ascii="Times New Roman" w:hAnsi="Times New Roman"/>
        </w:rPr>
      </w:pPr>
      <w:r w:rsidRPr="007F4E9F">
        <w:rPr>
          <w:rFonts w:ascii="Times New Roman" w:hAnsi="Times New Roman"/>
        </w:rPr>
        <w:t xml:space="preserve">La convergencia en sectores estratégicos textil en las cuatro ciudades, construcción y plásticos en tres, y alimentos en dos, evidencia que la plataforma se orientó hacia actividades con flujos significativos de materiales y oportunidades reales de cierre de ciclos. Esto se alinea con la estrategia de recuperación poscovid que platea la Ellen MacArthr Foundation donde los sectores de entornos construidos (construcción), alimentos, envases plásticos (plásticos) y la moda (textil) son prioritarios en la definición de estrategias que permitan una activación económica baja en carbono y que respete los límites planetarios. </w:t>
      </w:r>
      <w:sdt>
        <w:sdtPr>
          <w:rPr>
            <w:rFonts w:ascii="Times New Roman" w:hAnsi="Times New Roman"/>
          </w:rPr>
          <w:id w:val="-140584010"/>
          <w:citation/>
        </w:sdtPr>
        <w:sdtContent>
          <w:r w:rsidRPr="007F4E9F">
            <w:rPr>
              <w:rFonts w:ascii="Times New Roman" w:hAnsi="Times New Roman"/>
            </w:rPr>
            <w:fldChar w:fldCharType="begin"/>
          </w:r>
          <w:r w:rsidRPr="007F4E9F">
            <w:rPr>
              <w:rFonts w:ascii="Times New Roman" w:hAnsi="Times New Roman"/>
              <w:lang w:val="es-ES"/>
            </w:rPr>
            <w:instrText xml:space="preserve"> CITATION Ell20 \l 3082 </w:instrText>
          </w:r>
          <w:r w:rsidRPr="007F4E9F">
            <w:rPr>
              <w:rFonts w:ascii="Times New Roman" w:hAnsi="Times New Roman"/>
            </w:rPr>
            <w:fldChar w:fldCharType="separate"/>
          </w:r>
          <w:r w:rsidRPr="007F4E9F">
            <w:rPr>
              <w:rFonts w:ascii="Times New Roman" w:hAnsi="Times New Roman"/>
              <w:noProof/>
              <w:lang w:val="es-ES"/>
            </w:rPr>
            <w:t>(Ellen MacArthur Foundation., 2020)</w:t>
          </w:r>
          <w:r w:rsidRPr="007F4E9F">
            <w:rPr>
              <w:rFonts w:ascii="Times New Roman" w:hAnsi="Times New Roman"/>
            </w:rPr>
            <w:fldChar w:fldCharType="end"/>
          </w:r>
        </w:sdtContent>
      </w:sdt>
    </w:p>
    <w:p w14:paraId="673AB76D" w14:textId="4B5DED47" w:rsidR="00D26268" w:rsidRPr="007F4E9F" w:rsidRDefault="005A0F36" w:rsidP="0032235A">
      <w:pPr>
        <w:jc w:val="both"/>
        <w:rPr>
          <w:rFonts w:ascii="Times New Roman" w:hAnsi="Times New Roman"/>
        </w:rPr>
      </w:pPr>
      <w:r w:rsidRPr="007F4E9F">
        <w:rPr>
          <w:rFonts w:ascii="Times New Roman" w:hAnsi="Times New Roman"/>
        </w:rPr>
        <w:t xml:space="preserve">En lo que se refiere a </w:t>
      </w:r>
      <w:r w:rsidRPr="007F4E9F">
        <w:rPr>
          <w:rFonts w:ascii="Times New Roman" w:hAnsi="Times New Roman"/>
          <w:b/>
          <w:bCs/>
        </w:rPr>
        <w:t>la relevancia frente a prioridades de sostenibilidad</w:t>
      </w:r>
      <w:r w:rsidRPr="007F4E9F">
        <w:rPr>
          <w:rFonts w:ascii="Times New Roman" w:hAnsi="Times New Roman"/>
        </w:rPr>
        <w:t xml:space="preserve">, la priorización sectorial y su caracterización técnica, normativa y de mercado muestran una clara alineación con los desafíos de sostenibilidad urbana en la región. Los sectores seleccionados concentran altos niveles de generación de residuos y consumo de recursos, así como oportunidades de reciclaje, valorización y </w:t>
      </w:r>
      <w:r w:rsidR="00D26268" w:rsidRPr="007F4E9F">
        <w:rPr>
          <w:rFonts w:ascii="Times New Roman" w:hAnsi="Times New Roman"/>
        </w:rPr>
        <w:t>eficiencia de materiales</w:t>
      </w:r>
      <w:r w:rsidR="008C2149" w:rsidRPr="007F4E9F">
        <w:rPr>
          <w:rFonts w:ascii="Times New Roman" w:hAnsi="Times New Roman"/>
        </w:rPr>
        <w:t xml:space="preserve"> </w:t>
      </w:r>
      <w:r w:rsidR="008C2149" w:rsidRPr="007F4E9F">
        <w:rPr>
          <w:rFonts w:ascii="Times New Roman" w:eastAsia="Times New Roman" w:hAnsi="Times New Roman" w:cs="Times New Roman"/>
        </w:rPr>
        <w:t>(</w:t>
      </w:r>
      <w:r w:rsidR="008C2149" w:rsidRPr="007F4E9F">
        <w:rPr>
          <w:rStyle w:val="bzpyqfadein"/>
        </w:rPr>
        <w:t>(</w:t>
      </w:r>
      <w:r w:rsidR="008C2149" w:rsidRPr="007F4E9F">
        <w:rPr>
          <w:rFonts w:ascii="Times New Roman" w:hAnsi="Times New Roman"/>
          <w:noProof/>
          <w:lang w:val="es-ES"/>
        </w:rPr>
        <w:t>ICLEI, &amp; ACODAL</w:t>
      </w:r>
      <w:r w:rsidR="008C2149" w:rsidRPr="007F4E9F">
        <w:rPr>
          <w:noProof/>
          <w:lang w:val="es-ES"/>
        </w:rPr>
        <w:t>, 2025a).</w:t>
      </w:r>
      <w:r w:rsidRPr="007F4E9F">
        <w:rPr>
          <w:rFonts w:ascii="Times New Roman" w:hAnsi="Times New Roman"/>
        </w:rPr>
        <w:t xml:space="preserve"> </w:t>
      </w:r>
    </w:p>
    <w:p w14:paraId="0CE06C08" w14:textId="699DD67F" w:rsidR="005A0F36" w:rsidRPr="007F4E9F" w:rsidRDefault="005A0F36" w:rsidP="0032235A">
      <w:pPr>
        <w:jc w:val="both"/>
        <w:rPr>
          <w:rFonts w:ascii="Times New Roman" w:hAnsi="Times New Roman"/>
        </w:rPr>
      </w:pPr>
      <w:r w:rsidRPr="007F4E9F">
        <w:rPr>
          <w:rFonts w:ascii="Times New Roman" w:hAnsi="Times New Roman"/>
        </w:rPr>
        <w:t xml:space="preserve">La batería de indicadores desarrollada permite monitorear impactos ambientales, desempeño circular y alineación con los </w:t>
      </w:r>
      <w:r w:rsidR="00D26268" w:rsidRPr="007F4E9F">
        <w:rPr>
          <w:rFonts w:ascii="Times New Roman" w:hAnsi="Times New Roman"/>
        </w:rPr>
        <w:t>o</w:t>
      </w:r>
      <w:r w:rsidRPr="007F4E9F">
        <w:rPr>
          <w:rFonts w:ascii="Times New Roman" w:hAnsi="Times New Roman"/>
        </w:rPr>
        <w:t xml:space="preserve">bjetivos de </w:t>
      </w:r>
      <w:r w:rsidR="00D26268" w:rsidRPr="007F4E9F">
        <w:rPr>
          <w:rFonts w:ascii="Times New Roman" w:hAnsi="Times New Roman"/>
        </w:rPr>
        <w:t>d</w:t>
      </w:r>
      <w:r w:rsidRPr="007F4E9F">
        <w:rPr>
          <w:rFonts w:ascii="Times New Roman" w:hAnsi="Times New Roman"/>
        </w:rPr>
        <w:t>esarrollo Sostenible, lo que refuerza la relevancia del componente como herramienta para apoyar la gobernanza de la economía circular a nivel regional.</w:t>
      </w:r>
    </w:p>
    <w:p w14:paraId="28CB804B" w14:textId="0EA077E7" w:rsidR="00523E31" w:rsidRPr="007F4E9F" w:rsidRDefault="00523E31" w:rsidP="0032235A">
      <w:pPr>
        <w:jc w:val="both"/>
        <w:rPr>
          <w:rFonts w:ascii="Times New Roman" w:hAnsi="Times New Roman"/>
        </w:rPr>
      </w:pPr>
      <w:r w:rsidRPr="007F4E9F">
        <w:rPr>
          <w:rFonts w:ascii="Times New Roman" w:hAnsi="Times New Roman"/>
        </w:rPr>
        <w:t xml:space="preserve">Finalmente, </w:t>
      </w:r>
      <w:r w:rsidRPr="007F4E9F">
        <w:rPr>
          <w:rFonts w:ascii="Times New Roman" w:hAnsi="Times New Roman"/>
          <w:b/>
          <w:bCs/>
        </w:rPr>
        <w:t>recogiendo las percepciones de los actores</w:t>
      </w:r>
      <w:r w:rsidRPr="007F4E9F">
        <w:rPr>
          <w:rFonts w:ascii="Times New Roman" w:hAnsi="Times New Roman"/>
        </w:rPr>
        <w:t xml:space="preserve"> institucionales, se ratifica la pertinencia del enfoque regional de la plataforma, destacando su potencial para generar activos colaborativos entre ciudades y facilitar el intercambio de bienes y servicios circulares. Sin embargo, tanto el comité directivo como las empresas usuarias señalan que el Marketplace, por sí solo, no garantiza la dinamización de los negocios circulares sin contar con marcos regulatorios habilitantes, incentivos económicos y una mayor masa crítica de empresas usuarias. También se evidencian brechas entre las funcionalidades actuales de la plataforma y las necesidades operativas de las empresas.</w:t>
      </w:r>
    </w:p>
    <w:p w14:paraId="40B19344" w14:textId="6EE45F31" w:rsidR="002947FC" w:rsidRPr="007F4E9F" w:rsidRDefault="002947FC" w:rsidP="0032235A">
      <w:pPr>
        <w:pStyle w:val="Subtitle"/>
        <w:jc w:val="both"/>
        <w:rPr>
          <w:rFonts w:ascii="Times New Roman" w:hAnsi="Times New Roman"/>
          <w:sz w:val="22"/>
        </w:rPr>
      </w:pPr>
      <w:r w:rsidRPr="007F4E9F">
        <w:rPr>
          <w:rFonts w:ascii="Times New Roman" w:hAnsi="Times New Roman"/>
          <w:sz w:val="22"/>
        </w:rPr>
        <w:t>Componente 2</w:t>
      </w:r>
    </w:p>
    <w:p w14:paraId="674E0A8D" w14:textId="254282EE" w:rsidR="002947FC" w:rsidRPr="007F4E9F" w:rsidRDefault="00C950B3" w:rsidP="0032235A">
      <w:pPr>
        <w:jc w:val="both"/>
        <w:rPr>
          <w:rFonts w:ascii="Times New Roman" w:hAnsi="Times New Roman"/>
        </w:rPr>
      </w:pPr>
      <w:r w:rsidRPr="007F4E9F">
        <w:rPr>
          <w:rFonts w:ascii="Times New Roman" w:hAnsi="Times New Roman"/>
        </w:rPr>
        <w:t xml:space="preserve">En lo que concierne a la </w:t>
      </w:r>
      <w:r w:rsidRPr="007F4E9F">
        <w:rPr>
          <w:rFonts w:ascii="Times New Roman" w:hAnsi="Times New Roman"/>
          <w:b/>
          <w:bCs/>
        </w:rPr>
        <w:t>a</w:t>
      </w:r>
      <w:r w:rsidR="002947FC" w:rsidRPr="007F4E9F">
        <w:rPr>
          <w:rFonts w:ascii="Times New Roman" w:hAnsi="Times New Roman"/>
          <w:b/>
          <w:bCs/>
        </w:rPr>
        <w:t>decuación a los contextos urbanos y sectoriales</w:t>
      </w:r>
      <w:r w:rsidRPr="007F4E9F">
        <w:rPr>
          <w:rFonts w:ascii="Times New Roman" w:hAnsi="Times New Roman"/>
        </w:rPr>
        <w:t>, e</w:t>
      </w:r>
      <w:r w:rsidR="002947FC" w:rsidRPr="007F4E9F">
        <w:rPr>
          <w:rFonts w:ascii="Times New Roman" w:hAnsi="Times New Roman"/>
        </w:rPr>
        <w:t>l componente muestra una fuerte adecuación a los contextos institucionales y regulatorios de las ciudades, al realizar un análisis detallado del marco normativo desde una perspectiva de ciclo de vida que abarca diseño, consumo y fin de vida de los materiales. El estudio identifica prioridades normativas específicas por ciudad</w:t>
      </w:r>
      <w:r w:rsidRPr="007F4E9F">
        <w:rPr>
          <w:rFonts w:ascii="Times New Roman" w:hAnsi="Times New Roman"/>
        </w:rPr>
        <w:t xml:space="preserve"> </w:t>
      </w:r>
      <w:r w:rsidR="002947FC" w:rsidRPr="007F4E9F">
        <w:rPr>
          <w:rFonts w:ascii="Times New Roman" w:hAnsi="Times New Roman"/>
        </w:rPr>
        <w:t>como bioeconomía, regeneración urbana, reciclaje inclusivo o sistemas de retorn</w:t>
      </w:r>
      <w:r w:rsidRPr="007F4E9F">
        <w:rPr>
          <w:rFonts w:ascii="Times New Roman" w:hAnsi="Times New Roman"/>
        </w:rPr>
        <w:t xml:space="preserve">o, </w:t>
      </w:r>
      <w:r w:rsidR="002947FC" w:rsidRPr="007F4E9F">
        <w:rPr>
          <w:rFonts w:ascii="Times New Roman" w:hAnsi="Times New Roman"/>
        </w:rPr>
        <w:t>permitiendo comprender las condiciones regulatorias que influyen en el desarrollo de modelos circulares en cada territorio</w:t>
      </w:r>
      <w:r w:rsidR="00CA108B" w:rsidRPr="007F4E9F">
        <w:rPr>
          <w:rFonts w:ascii="Times New Roman" w:hAnsi="Times New Roman"/>
        </w:rPr>
        <w:t xml:space="preserve"> </w:t>
      </w:r>
      <w:r w:rsidR="008C2149" w:rsidRPr="007F4E9F">
        <w:rPr>
          <w:rStyle w:val="bzpyqfadein"/>
        </w:rPr>
        <w:t>(</w:t>
      </w:r>
      <w:r w:rsidR="008C2149" w:rsidRPr="007F4E9F">
        <w:rPr>
          <w:rFonts w:ascii="Times New Roman" w:hAnsi="Times New Roman"/>
          <w:noProof/>
          <w:lang w:val="es-ES"/>
        </w:rPr>
        <w:t>ICLEI, &amp; ACODAL</w:t>
      </w:r>
      <w:r w:rsidR="008C2149" w:rsidRPr="007F4E9F">
        <w:rPr>
          <w:noProof/>
          <w:lang w:val="es-ES"/>
        </w:rPr>
        <w:t>, 2025a).</w:t>
      </w:r>
    </w:p>
    <w:p w14:paraId="31FAD8DB" w14:textId="3128E381" w:rsidR="002947FC" w:rsidRPr="007F4E9F" w:rsidRDefault="00C950B3" w:rsidP="0032235A">
      <w:pPr>
        <w:jc w:val="both"/>
        <w:rPr>
          <w:rFonts w:ascii="Times New Roman" w:hAnsi="Times New Roman"/>
        </w:rPr>
      </w:pPr>
      <w:r w:rsidRPr="007F4E9F">
        <w:rPr>
          <w:rFonts w:ascii="Times New Roman" w:hAnsi="Times New Roman"/>
        </w:rPr>
        <w:t xml:space="preserve">Frente a la </w:t>
      </w:r>
      <w:r w:rsidRPr="007F4E9F">
        <w:rPr>
          <w:rFonts w:ascii="Times New Roman" w:hAnsi="Times New Roman"/>
          <w:b/>
          <w:bCs/>
        </w:rPr>
        <w:t>r</w:t>
      </w:r>
      <w:r w:rsidR="002947FC" w:rsidRPr="007F4E9F">
        <w:rPr>
          <w:rFonts w:ascii="Times New Roman" w:hAnsi="Times New Roman"/>
          <w:b/>
          <w:bCs/>
        </w:rPr>
        <w:t>elevancia frente a prioridades de sostenibilidad</w:t>
      </w:r>
      <w:r w:rsidRPr="007F4E9F">
        <w:rPr>
          <w:rFonts w:ascii="Times New Roman" w:hAnsi="Times New Roman"/>
        </w:rPr>
        <w:t>, e</w:t>
      </w:r>
      <w:r w:rsidR="002947FC" w:rsidRPr="007F4E9F">
        <w:rPr>
          <w:rFonts w:ascii="Times New Roman" w:hAnsi="Times New Roman"/>
        </w:rPr>
        <w:t xml:space="preserve">l análisis normativo demuestra que las ciudades han incorporado progresivamente la economía circular en sus marcos regulatorios, especialmente en la gestión de residuos, la responsabilidad extendida del productor y las estrategias de sostenibilidad urbana. Asimismo, el estudio identifica oportunidades y brechas regulatorias en sectores prioritarios </w:t>
      </w:r>
      <w:r w:rsidRPr="007F4E9F">
        <w:rPr>
          <w:rFonts w:ascii="Times New Roman" w:hAnsi="Times New Roman"/>
        </w:rPr>
        <w:t>(</w:t>
      </w:r>
      <w:r w:rsidR="002947FC" w:rsidRPr="007F4E9F">
        <w:rPr>
          <w:rFonts w:ascii="Times New Roman" w:hAnsi="Times New Roman"/>
        </w:rPr>
        <w:t>plásticos, construcción, alimentos y textil</w:t>
      </w:r>
      <w:r w:rsidRPr="007F4E9F">
        <w:rPr>
          <w:rFonts w:ascii="Times New Roman" w:hAnsi="Times New Roman"/>
        </w:rPr>
        <w:t xml:space="preserve">) </w:t>
      </w:r>
      <w:r w:rsidR="002947FC" w:rsidRPr="007F4E9F">
        <w:rPr>
          <w:rFonts w:ascii="Times New Roman" w:hAnsi="Times New Roman"/>
        </w:rPr>
        <w:t>que orientan futuras políticas públicas para fortalecer los mercados circulares en la región</w:t>
      </w:r>
      <w:r w:rsidR="00CA108B" w:rsidRPr="007F4E9F">
        <w:rPr>
          <w:rFonts w:ascii="Times New Roman" w:hAnsi="Times New Roman"/>
        </w:rPr>
        <w:t xml:space="preserve"> </w:t>
      </w:r>
      <w:r w:rsidR="005631C6" w:rsidRPr="007F4E9F">
        <w:rPr>
          <w:rStyle w:val="bzpyqfadein"/>
        </w:rPr>
        <w:t>(</w:t>
      </w:r>
      <w:r w:rsidR="005631C6" w:rsidRPr="007F4E9F">
        <w:rPr>
          <w:rFonts w:ascii="Times New Roman" w:hAnsi="Times New Roman"/>
          <w:noProof/>
          <w:lang w:val="es-ES"/>
        </w:rPr>
        <w:t>ICLEI, &amp; ACODAL</w:t>
      </w:r>
      <w:r w:rsidR="005631C6" w:rsidRPr="007F4E9F">
        <w:rPr>
          <w:noProof/>
          <w:lang w:val="es-ES"/>
        </w:rPr>
        <w:t>, 2025a).</w:t>
      </w:r>
    </w:p>
    <w:p w14:paraId="577E48E0" w14:textId="5566C2FC" w:rsidR="002947FC" w:rsidRPr="007F4E9F" w:rsidRDefault="00D04241" w:rsidP="0032235A">
      <w:pPr>
        <w:jc w:val="both"/>
        <w:rPr>
          <w:rFonts w:ascii="Times New Roman" w:hAnsi="Times New Roman"/>
        </w:rPr>
      </w:pPr>
      <w:r w:rsidRPr="007F4E9F">
        <w:rPr>
          <w:rFonts w:ascii="Times New Roman" w:hAnsi="Times New Roman"/>
        </w:rPr>
        <w:t>Finalizando las p</w:t>
      </w:r>
      <w:r w:rsidR="002947FC" w:rsidRPr="007F4E9F">
        <w:rPr>
          <w:rFonts w:ascii="Times New Roman" w:hAnsi="Times New Roman"/>
        </w:rPr>
        <w:t>ercepciones de los actores</w:t>
      </w:r>
      <w:r w:rsidRPr="007F4E9F">
        <w:rPr>
          <w:rFonts w:ascii="Times New Roman" w:hAnsi="Times New Roman"/>
        </w:rPr>
        <w:t>, l</w:t>
      </w:r>
      <w:r w:rsidR="002947FC" w:rsidRPr="007F4E9F">
        <w:rPr>
          <w:rFonts w:ascii="Times New Roman" w:hAnsi="Times New Roman"/>
        </w:rPr>
        <w:t xml:space="preserve">os actores institucionales coinciden en la necesidad de fortalecer el marco normativo para habilitar modelos de negocio circulares más allá de la gestión de residuos al final del ciclo. Aunque se reconocen avances regulatorios, persisten diferencias en su nivel de madurez: Bogotá cuenta con un marco más </w:t>
      </w:r>
      <w:r w:rsidRPr="007F4E9F">
        <w:rPr>
          <w:rFonts w:ascii="Times New Roman" w:hAnsi="Times New Roman"/>
        </w:rPr>
        <w:t>consolidado,</w:t>
      </w:r>
      <w:r w:rsidR="002947FC" w:rsidRPr="007F4E9F">
        <w:rPr>
          <w:rFonts w:ascii="Times New Roman" w:hAnsi="Times New Roman"/>
        </w:rPr>
        <w:t xml:space="preserve"> pero enfrenta retos de implementación; Quito se encuentra en proceso de consolidación normativa; y Santiago presenta instrumentos avanzados, aunque con vacíos técnicos que limitan ciertos flujos circulares. En conjunto, los actores resaltan la necesidad de mejorar la articulación institucional, los incentivos económicos y las condiciones de mercado para facilitar la transición hacia una economía circular.</w:t>
      </w:r>
    </w:p>
    <w:p w14:paraId="42A4E884" w14:textId="661A03B4" w:rsidR="00AA6F9C" w:rsidRPr="007F4E9F" w:rsidRDefault="00AA6F9C" w:rsidP="0032235A">
      <w:pPr>
        <w:pStyle w:val="Heading2"/>
        <w:jc w:val="both"/>
        <w:rPr>
          <w:rFonts w:ascii="Times New Roman" w:hAnsi="Times New Roman"/>
          <w:sz w:val="22"/>
        </w:rPr>
      </w:pPr>
      <w:bookmarkStart w:id="137" w:name="_Toc226750240"/>
      <w:r w:rsidRPr="007F4E9F">
        <w:rPr>
          <w:rFonts w:ascii="Times New Roman" w:hAnsi="Times New Roman"/>
          <w:sz w:val="22"/>
        </w:rPr>
        <w:t>Conclusiones sobre sostenibilidad</w:t>
      </w:r>
      <w:bookmarkEnd w:id="137"/>
    </w:p>
    <w:p w14:paraId="0F0CFC84" w14:textId="103CDF04" w:rsidR="00111FCE" w:rsidRPr="007F4E9F" w:rsidRDefault="00233D02" w:rsidP="0032235A">
      <w:pPr>
        <w:jc w:val="both"/>
        <w:rPr>
          <w:rFonts w:ascii="Times New Roman" w:hAnsi="Times New Roman"/>
        </w:rPr>
      </w:pPr>
      <w:r w:rsidRPr="007F4E9F">
        <w:rPr>
          <w:rFonts w:ascii="Times New Roman" w:hAnsi="Times New Roman"/>
        </w:rPr>
        <w:t xml:space="preserve">El criterio de </w:t>
      </w:r>
      <w:r w:rsidR="00CA108B" w:rsidRPr="007F4E9F">
        <w:rPr>
          <w:rFonts w:ascii="Times New Roman" w:hAnsi="Times New Roman"/>
        </w:rPr>
        <w:t>sostenibilidad</w:t>
      </w:r>
      <w:r w:rsidRPr="007F4E9F">
        <w:rPr>
          <w:rFonts w:ascii="Times New Roman" w:hAnsi="Times New Roman"/>
        </w:rPr>
        <w:t xml:space="preserve"> se desarrolló ampliamente para cada uno de los componentes y para cada uno de sus alcances, incluyendo las percepciones de los grupos de interés. Por lo tanto, este apartado se concentrará en sintetizar los hallazgos a manera de conclusiones tanto de la evaluación técnica como de las percepciones de los actores clave para el alcance de las condiciones institucionales, técnicas y financieras para la continuidad de los logros alcanzados.</w:t>
      </w:r>
    </w:p>
    <w:p w14:paraId="36CDAF63" w14:textId="44384B4C" w:rsidR="00DF4AA5" w:rsidRPr="007F4E9F" w:rsidRDefault="00233D02" w:rsidP="0032235A">
      <w:pPr>
        <w:jc w:val="both"/>
        <w:rPr>
          <w:rFonts w:ascii="Times New Roman" w:hAnsi="Times New Roman"/>
        </w:rPr>
      </w:pPr>
      <w:r w:rsidRPr="007F4E9F">
        <w:rPr>
          <w:rFonts w:ascii="Times New Roman" w:hAnsi="Times New Roman"/>
        </w:rPr>
        <w:t>En torno a las condiciones institucionales, e</w:t>
      </w:r>
      <w:r w:rsidR="00DF4AA5" w:rsidRPr="007F4E9F">
        <w:rPr>
          <w:rFonts w:ascii="Times New Roman" w:hAnsi="Times New Roman"/>
        </w:rPr>
        <w:t>l proyecto cuenta con una base institucional sólida liderada por la Secretaría Distrital de Ambiente de Bogotá, que ha mantenido el compromiso con la implementación del Marketplace a pesar de cambios organizacionales y limitaciones administrativas. No obstante, la sostenibilidad institucional dependerá de consolidar el modelo de gobernanza multinivel propuesto y de fortalecer la participación efectiva de las demás ciudades beneficiarias.</w:t>
      </w:r>
    </w:p>
    <w:p w14:paraId="0BCE3924" w14:textId="587AA553" w:rsidR="00DF4AA5" w:rsidRPr="007F4E9F" w:rsidRDefault="00233D02" w:rsidP="0032235A">
      <w:pPr>
        <w:jc w:val="both"/>
        <w:rPr>
          <w:rFonts w:ascii="Times New Roman" w:hAnsi="Times New Roman"/>
        </w:rPr>
      </w:pPr>
      <w:r w:rsidRPr="007F4E9F">
        <w:rPr>
          <w:rFonts w:ascii="Times New Roman" w:hAnsi="Times New Roman"/>
        </w:rPr>
        <w:t>Con relación a lo t</w:t>
      </w:r>
      <w:r w:rsidR="00DF4AA5" w:rsidRPr="007F4E9F">
        <w:rPr>
          <w:rFonts w:ascii="Times New Roman" w:hAnsi="Times New Roman"/>
        </w:rPr>
        <w:t>écnico</w:t>
      </w:r>
      <w:r w:rsidRPr="007F4E9F">
        <w:rPr>
          <w:rFonts w:ascii="Times New Roman" w:hAnsi="Times New Roman"/>
        </w:rPr>
        <w:t>, l</w:t>
      </w:r>
      <w:r w:rsidR="00DF4AA5" w:rsidRPr="007F4E9F">
        <w:rPr>
          <w:rFonts w:ascii="Times New Roman" w:hAnsi="Times New Roman"/>
        </w:rPr>
        <w:t>a plataforma cumple con su función básica de conectar actores del ecosistema de economía circular; sin embargo, presenta limitaciones técnicas y de experiencia de usuario que afectan su adopción.</w:t>
      </w:r>
      <w:r w:rsidR="00A119E3" w:rsidRPr="007F4E9F">
        <w:rPr>
          <w:rFonts w:ascii="Times New Roman" w:hAnsi="Times New Roman"/>
        </w:rPr>
        <w:t xml:space="preserve"> Se requieren m</w:t>
      </w:r>
      <w:r w:rsidR="00DF4AA5" w:rsidRPr="007F4E9F">
        <w:rPr>
          <w:rFonts w:ascii="Times New Roman" w:hAnsi="Times New Roman"/>
        </w:rPr>
        <w:t>ejoras en accesibilidad, notificaciones externas, navegación abierta y funcionalidades de contacto para consolidar su uso y dinamizar las interacciones entre usuarios</w:t>
      </w:r>
      <w:r w:rsidR="00A119E3" w:rsidRPr="007F4E9F">
        <w:rPr>
          <w:rFonts w:ascii="Times New Roman" w:hAnsi="Times New Roman"/>
        </w:rPr>
        <w:t xml:space="preserve"> y con ello las transacciones</w:t>
      </w:r>
      <w:r w:rsidR="00DF4AA5" w:rsidRPr="007F4E9F">
        <w:rPr>
          <w:rFonts w:ascii="Times New Roman" w:hAnsi="Times New Roman"/>
        </w:rPr>
        <w:t>.</w:t>
      </w:r>
    </w:p>
    <w:p w14:paraId="0172DB32" w14:textId="7B67D841" w:rsidR="00DF4AA5" w:rsidRPr="007F4E9F" w:rsidRDefault="00A119E3" w:rsidP="0032235A">
      <w:pPr>
        <w:jc w:val="both"/>
        <w:rPr>
          <w:rFonts w:ascii="Times New Roman" w:hAnsi="Times New Roman"/>
        </w:rPr>
      </w:pPr>
      <w:r w:rsidRPr="007F4E9F">
        <w:rPr>
          <w:rFonts w:ascii="Times New Roman" w:hAnsi="Times New Roman"/>
        </w:rPr>
        <w:t>Para el componente financiero se observa que, l</w:t>
      </w:r>
      <w:r w:rsidR="00DF4AA5" w:rsidRPr="007F4E9F">
        <w:rPr>
          <w:rFonts w:ascii="Times New Roman" w:hAnsi="Times New Roman"/>
        </w:rPr>
        <w:t>a sostenibilidad financiera aún es frágil, ya que actualmente la continuidad depende principalmente de la Secretaría Distrital de Ambiente y no existe una contrapartida clara de las demás ciudades. Existen oportunidades para financiar mejoras mediante rendimientos financieros del proyecto o recursos posteriores al cierre de auditoría, pero se requiere definir un esquema estable de financiación para operación, mantenimiento y evolución tecnológica.</w:t>
      </w:r>
    </w:p>
    <w:p w14:paraId="43BB0F78" w14:textId="0D065C03" w:rsidR="00DF4AA5" w:rsidRPr="007F4E9F" w:rsidRDefault="00A119E3" w:rsidP="0032235A">
      <w:pPr>
        <w:jc w:val="both"/>
        <w:rPr>
          <w:rFonts w:ascii="Times New Roman" w:hAnsi="Times New Roman"/>
        </w:rPr>
      </w:pPr>
      <w:r w:rsidRPr="007F4E9F">
        <w:rPr>
          <w:rFonts w:ascii="Times New Roman" w:hAnsi="Times New Roman"/>
        </w:rPr>
        <w:t>Finalmente, de acuerdo con las p</w:t>
      </w:r>
      <w:r w:rsidR="00DF4AA5" w:rsidRPr="007F4E9F">
        <w:rPr>
          <w:rFonts w:ascii="Times New Roman" w:hAnsi="Times New Roman"/>
        </w:rPr>
        <w:t>ercepciones de los actores</w:t>
      </w:r>
      <w:r w:rsidRPr="007F4E9F">
        <w:rPr>
          <w:rFonts w:ascii="Times New Roman" w:hAnsi="Times New Roman"/>
        </w:rPr>
        <w:t>, l</w:t>
      </w:r>
      <w:r w:rsidR="00DF4AA5" w:rsidRPr="007F4E9F">
        <w:rPr>
          <w:rFonts w:ascii="Times New Roman" w:hAnsi="Times New Roman"/>
        </w:rPr>
        <w:t>as instituciones participantes reconocen el valor estratégico del Marketplace como activo regional para promover la economía circular, aunque advierten la necesidad de consolidar su esquema de gobernanza y operación</w:t>
      </w:r>
      <w:r w:rsidRPr="007F4E9F">
        <w:rPr>
          <w:rFonts w:ascii="Times New Roman" w:hAnsi="Times New Roman"/>
        </w:rPr>
        <w:t xml:space="preserve"> y de superar la deuda técnica para que genere valor real para las empresas</w:t>
      </w:r>
      <w:r w:rsidR="00DF4AA5" w:rsidRPr="007F4E9F">
        <w:rPr>
          <w:rFonts w:ascii="Times New Roman" w:hAnsi="Times New Roman"/>
        </w:rPr>
        <w:t>.</w:t>
      </w:r>
    </w:p>
    <w:p w14:paraId="7A4D3FC6" w14:textId="77777777" w:rsidR="00DF4AA5" w:rsidRPr="007F4E9F" w:rsidRDefault="00DF4AA5" w:rsidP="0032235A">
      <w:pPr>
        <w:jc w:val="both"/>
        <w:rPr>
          <w:rFonts w:ascii="Times New Roman" w:hAnsi="Times New Roman"/>
        </w:rPr>
      </w:pPr>
      <w:r w:rsidRPr="007F4E9F">
        <w:rPr>
          <w:rFonts w:ascii="Times New Roman" w:hAnsi="Times New Roman"/>
        </w:rPr>
        <w:t>Desde el organismo ejecutor se evidencia voluntad de continuar apoyando la plataforma, pero se identifican limitaciones operativas por falta de personal dedicado al mantenimiento y soporte técnico. La ausencia de recursos o personal asignado por parte de las otras ciudades genera una alerta para la sostenibilidad técnica y financiera del sistema.</w:t>
      </w:r>
    </w:p>
    <w:p w14:paraId="7D9AC100" w14:textId="77777777" w:rsidR="00FA1BC1" w:rsidRPr="007F4E9F" w:rsidRDefault="00543776" w:rsidP="00FA1BC1">
      <w:pPr>
        <w:jc w:val="both"/>
        <w:rPr>
          <w:rFonts w:ascii="Times New Roman" w:hAnsi="Times New Roman"/>
        </w:rPr>
      </w:pPr>
      <w:r w:rsidRPr="007F4E9F">
        <w:rPr>
          <w:rFonts w:ascii="Times New Roman" w:hAnsi="Times New Roman"/>
        </w:rPr>
        <w:t>Los usuarios del sector privado valoran positivamente la continuidad del Marketplace: 11 de 21 encuestados, manifiesta interés positivo o neutral en que la plataforma continúe operando. Enfatizan en la urgencia de fortalecer los mecanismos de comunicación entre usuarios, mejorar la experiencia de usuario y establecer indicadores de seguimiento para medir el desempeño y nivel de actividad del Marketplace</w:t>
      </w:r>
    </w:p>
    <w:p w14:paraId="23B1A7B0" w14:textId="12270295" w:rsidR="00AA6F9C" w:rsidRPr="007F4E9F" w:rsidRDefault="00475F46" w:rsidP="00FA1BC1">
      <w:pPr>
        <w:pStyle w:val="Heading2"/>
        <w:rPr>
          <w:rFonts w:ascii="Times New Roman" w:hAnsi="Times New Roman"/>
          <w:sz w:val="22"/>
        </w:rPr>
      </w:pPr>
      <w:bookmarkStart w:id="138" w:name="_Toc226750241"/>
      <w:r w:rsidRPr="007F4E9F">
        <w:rPr>
          <w:rFonts w:ascii="Times New Roman" w:hAnsi="Times New Roman"/>
          <w:sz w:val="22"/>
        </w:rPr>
        <w:t>Conclusiones sobre p</w:t>
      </w:r>
      <w:r w:rsidR="00AA6F9C" w:rsidRPr="007F4E9F">
        <w:rPr>
          <w:rFonts w:ascii="Times New Roman" w:hAnsi="Times New Roman"/>
          <w:sz w:val="22"/>
        </w:rPr>
        <w:t>osibles buenas prácticas</w:t>
      </w:r>
      <w:bookmarkEnd w:id="138"/>
    </w:p>
    <w:p w14:paraId="5B6D4CA3" w14:textId="4F81F8F9" w:rsidR="00A8509C" w:rsidRPr="007F4E9F" w:rsidRDefault="00A8509C" w:rsidP="0032235A">
      <w:pPr>
        <w:pStyle w:val="NormalWeb"/>
        <w:jc w:val="both"/>
        <w:rPr>
          <w:sz w:val="22"/>
          <w:szCs w:val="22"/>
        </w:rPr>
      </w:pPr>
      <w:r w:rsidRPr="007F4E9F">
        <w:rPr>
          <w:sz w:val="22"/>
          <w:szCs w:val="22"/>
        </w:rPr>
        <w:t xml:space="preserve">Las buenas prácticas recopiladas en este </w:t>
      </w:r>
      <w:r w:rsidR="003E2785" w:rsidRPr="007F4E9F">
        <w:rPr>
          <w:sz w:val="22"/>
          <w:szCs w:val="22"/>
        </w:rPr>
        <w:t>capítulo</w:t>
      </w:r>
      <w:r w:rsidRPr="007F4E9F">
        <w:rPr>
          <w:sz w:val="22"/>
          <w:szCs w:val="22"/>
        </w:rPr>
        <w:t xml:space="preserve"> se relacionan con prácticas que favorecieron el diseño del proyecto y de los productos esperados. Así mismo se recogen buenas </w:t>
      </w:r>
      <w:r w:rsidR="0010074F" w:rsidRPr="007F4E9F">
        <w:rPr>
          <w:sz w:val="22"/>
          <w:szCs w:val="22"/>
        </w:rPr>
        <w:t>prácticas referidas</w:t>
      </w:r>
      <w:r w:rsidRPr="007F4E9F">
        <w:rPr>
          <w:sz w:val="22"/>
          <w:szCs w:val="22"/>
        </w:rPr>
        <w:t xml:space="preserve"> al proceso administrativo del proyecto y </w:t>
      </w:r>
      <w:r w:rsidR="0010074F" w:rsidRPr="007F4E9F">
        <w:rPr>
          <w:sz w:val="22"/>
          <w:szCs w:val="22"/>
        </w:rPr>
        <w:t>las buenas prácticas implementadas por las empresas consultoras y los profesionales dedicados al proyecto.</w:t>
      </w:r>
    </w:p>
    <w:p w14:paraId="669FA579" w14:textId="77777777" w:rsidR="00543776" w:rsidRPr="007F4E9F" w:rsidRDefault="00543776" w:rsidP="00543776">
      <w:pPr>
        <w:spacing w:line="240" w:lineRule="auto"/>
        <w:jc w:val="both"/>
        <w:rPr>
          <w:rFonts w:ascii="Times New Roman" w:hAnsi="Times New Roman"/>
        </w:rPr>
      </w:pPr>
      <w:r w:rsidRPr="007F4E9F">
        <w:rPr>
          <w:rFonts w:ascii="Times New Roman" w:hAnsi="Times New Roman"/>
        </w:rPr>
        <w:t xml:space="preserve">Desde la perspectiva de las buenas prácticas, se reconoce como positivo </w:t>
      </w:r>
      <w:r w:rsidRPr="007F4E9F">
        <w:rPr>
          <w:rFonts w:ascii="Times New Roman" w:hAnsi="Times New Roman"/>
          <w:b/>
          <w:bCs/>
        </w:rPr>
        <w:t>el trabajo secuencial y articulado desarrollado en cada componente individual</w:t>
      </w:r>
      <w:r w:rsidRPr="007F4E9F">
        <w:rPr>
          <w:rFonts w:ascii="Times New Roman" w:hAnsi="Times New Roman"/>
        </w:rPr>
        <w:t xml:space="preserve">. El componente 1 parte de identificar y priorizar sectores productivos para cada ciudad, diseña la plataforma digital incluyendo estos sectores y define indicadores para el seguimiento de la plataforma digital. Por su parte, el componente 2 parte de la caracterización normativa e institucional, identifica brechas y culmina en propuestas de fortalecimiento, gobernanza y validación participativa. </w:t>
      </w:r>
    </w:p>
    <w:p w14:paraId="4D413E31" w14:textId="5DB26A1F" w:rsidR="00281005" w:rsidRPr="007F4E9F" w:rsidRDefault="00281005" w:rsidP="0032235A">
      <w:pPr>
        <w:jc w:val="both"/>
        <w:rPr>
          <w:rFonts w:ascii="Times New Roman" w:eastAsia="Times New Roman" w:hAnsi="Times New Roman" w:cs="Times New Roman"/>
        </w:rPr>
      </w:pPr>
      <w:r w:rsidRPr="007F4E9F">
        <w:rPr>
          <w:rFonts w:ascii="Times New Roman" w:eastAsia="Times New Roman" w:hAnsi="Times New Roman" w:cs="Times New Roman"/>
          <w:b/>
          <w:bCs/>
        </w:rPr>
        <w:t>Un control detallado</w:t>
      </w:r>
      <w:r w:rsidR="008826E4" w:rsidRPr="007F4E9F">
        <w:rPr>
          <w:rFonts w:ascii="Times New Roman" w:eastAsia="Times New Roman" w:hAnsi="Times New Roman" w:cs="Times New Roman"/>
          <w:b/>
          <w:bCs/>
        </w:rPr>
        <w:t xml:space="preserve"> y recurrente</w:t>
      </w:r>
      <w:r w:rsidRPr="007F4E9F">
        <w:rPr>
          <w:rFonts w:ascii="Times New Roman" w:eastAsia="Times New Roman" w:hAnsi="Times New Roman" w:cs="Times New Roman"/>
          <w:b/>
          <w:bCs/>
        </w:rPr>
        <w:t xml:space="preserve"> de fechas, alcances y productos</w:t>
      </w:r>
      <w:r w:rsidRPr="007F4E9F">
        <w:rPr>
          <w:rFonts w:ascii="Times New Roman" w:eastAsia="Times New Roman" w:hAnsi="Times New Roman" w:cs="Times New Roman"/>
        </w:rPr>
        <w:t xml:space="preserve">, </w:t>
      </w:r>
      <w:r w:rsidR="008826E4" w:rsidRPr="007F4E9F">
        <w:rPr>
          <w:rFonts w:ascii="Times New Roman" w:eastAsia="Times New Roman" w:hAnsi="Times New Roman" w:cs="Times New Roman"/>
        </w:rPr>
        <w:t xml:space="preserve">permitió un avance exitoso del proyecto, </w:t>
      </w:r>
      <w:r w:rsidRPr="007F4E9F">
        <w:rPr>
          <w:rFonts w:ascii="Times New Roman" w:eastAsia="Times New Roman" w:hAnsi="Times New Roman" w:cs="Times New Roman"/>
        </w:rPr>
        <w:t>especialmente en el componente 2 con reuniones semanales de seguimiento para verificar el grado de avance, las necesidades y los pasos a seguir.</w:t>
      </w:r>
      <w:r w:rsidR="00460255" w:rsidRPr="007F4E9F">
        <w:rPr>
          <w:rFonts w:ascii="Times New Roman" w:eastAsia="Times New Roman" w:hAnsi="Times New Roman" w:cs="Times New Roman"/>
        </w:rPr>
        <w:t xml:space="preserve"> Este seguimiento permitió identificar desviaciones en los alcances, por ejemplo, la concentración en una economía circular al final del tubo con la disposición final y el reciclaje de residuos, para reorientar el ejercicio en toda la amplitud de la eliminación de residuos por diseño y la retención de valor.</w:t>
      </w:r>
    </w:p>
    <w:p w14:paraId="5FD07CF1" w14:textId="614953B7" w:rsidR="00281005" w:rsidRPr="007F4E9F" w:rsidRDefault="00543776" w:rsidP="0032235A">
      <w:pPr>
        <w:jc w:val="both"/>
        <w:rPr>
          <w:rFonts w:ascii="Times New Roman" w:eastAsia="Times New Roman" w:hAnsi="Times New Roman" w:cs="Times New Roman"/>
        </w:rPr>
      </w:pPr>
      <w:r w:rsidRPr="007F4E9F">
        <w:rPr>
          <w:rFonts w:ascii="Times New Roman" w:eastAsia="Times New Roman" w:hAnsi="Times New Roman" w:cs="Times New Roman"/>
          <w:b/>
          <w:bCs/>
        </w:rPr>
        <w:t>El fortalecimiento del equipo técnico del proyecto</w:t>
      </w:r>
      <w:r w:rsidRPr="007F4E9F">
        <w:rPr>
          <w:rFonts w:ascii="Times New Roman" w:eastAsia="Times New Roman" w:hAnsi="Times New Roman" w:cs="Times New Roman"/>
        </w:rPr>
        <w:t xml:space="preserve"> permitió superar diferentes </w:t>
      </w:r>
      <w:commentRangeStart w:id="139"/>
      <w:r w:rsidRPr="007F4E9F">
        <w:rPr>
          <w:rFonts w:ascii="Times New Roman" w:eastAsia="Times New Roman" w:hAnsi="Times New Roman" w:cs="Times New Roman"/>
        </w:rPr>
        <w:t xml:space="preserve">barreras </w:t>
      </w:r>
      <w:r w:rsidR="00281005" w:rsidRPr="007F4E9F">
        <w:rPr>
          <w:rFonts w:ascii="Times New Roman" w:eastAsia="Times New Roman" w:hAnsi="Times New Roman" w:cs="Times New Roman"/>
        </w:rPr>
        <w:t xml:space="preserve">La </w:t>
      </w:r>
      <w:commentRangeEnd w:id="139"/>
      <w:r w:rsidR="00C26D5A" w:rsidRPr="007F4E9F">
        <w:rPr>
          <w:rStyle w:val="CommentReference"/>
          <w:rFonts w:ascii="Times New Roman" w:eastAsia="Times New Roman" w:hAnsi="Times New Roman" w:cs="Times New Roman"/>
          <w:sz w:val="22"/>
          <w:szCs w:val="22"/>
        </w:rPr>
        <w:commentReference w:id="139"/>
      </w:r>
      <w:r w:rsidR="00281005" w:rsidRPr="007F4E9F">
        <w:rPr>
          <w:rFonts w:ascii="Times New Roman" w:eastAsia="Times New Roman" w:hAnsi="Times New Roman" w:cs="Times New Roman"/>
        </w:rPr>
        <w:t xml:space="preserve">incorporación de un abogado experto en contratación con banca, </w:t>
      </w:r>
      <w:r w:rsidR="00460255" w:rsidRPr="007F4E9F">
        <w:rPr>
          <w:rFonts w:ascii="Times New Roman" w:eastAsia="Times New Roman" w:hAnsi="Times New Roman" w:cs="Times New Roman"/>
        </w:rPr>
        <w:t xml:space="preserve">ayudo a superar la rigidez especializada de la </w:t>
      </w:r>
      <w:commentRangeStart w:id="140"/>
      <w:r w:rsidR="00460255" w:rsidRPr="007F4E9F">
        <w:rPr>
          <w:rFonts w:ascii="Times New Roman" w:eastAsia="Times New Roman" w:hAnsi="Times New Roman" w:cs="Times New Roman"/>
        </w:rPr>
        <w:t xml:space="preserve">contracción </w:t>
      </w:r>
      <w:commentRangeEnd w:id="140"/>
      <w:r w:rsidR="00C26D5A" w:rsidRPr="007F4E9F">
        <w:rPr>
          <w:rStyle w:val="CommentReference"/>
          <w:rFonts w:ascii="Times New Roman" w:eastAsia="Times New Roman" w:hAnsi="Times New Roman" w:cs="Times New Roman"/>
          <w:sz w:val="22"/>
          <w:szCs w:val="22"/>
        </w:rPr>
        <w:commentReference w:id="140"/>
      </w:r>
      <w:r w:rsidR="00460255" w:rsidRPr="007F4E9F">
        <w:rPr>
          <w:rFonts w:ascii="Times New Roman" w:eastAsia="Times New Roman" w:hAnsi="Times New Roman" w:cs="Times New Roman"/>
        </w:rPr>
        <w:t xml:space="preserve">por </w:t>
      </w:r>
      <w:commentRangeStart w:id="141"/>
      <w:r w:rsidR="00460255" w:rsidRPr="007F4E9F">
        <w:rPr>
          <w:rFonts w:ascii="Times New Roman" w:eastAsia="Times New Roman" w:hAnsi="Times New Roman" w:cs="Times New Roman"/>
        </w:rPr>
        <w:t xml:space="preserve">ley </w:t>
      </w:r>
      <w:commentRangeEnd w:id="141"/>
      <w:r w:rsidR="00C26D5A" w:rsidRPr="007F4E9F">
        <w:rPr>
          <w:rStyle w:val="CommentReference"/>
          <w:rFonts w:ascii="Times New Roman" w:eastAsia="Times New Roman" w:hAnsi="Times New Roman" w:cs="Times New Roman"/>
          <w:sz w:val="22"/>
          <w:szCs w:val="22"/>
        </w:rPr>
        <w:commentReference w:id="141"/>
      </w:r>
      <w:r w:rsidR="00460255" w:rsidRPr="007F4E9F">
        <w:rPr>
          <w:rFonts w:ascii="Times New Roman" w:eastAsia="Times New Roman" w:hAnsi="Times New Roman" w:cs="Times New Roman"/>
        </w:rPr>
        <w:t>80 y</w:t>
      </w:r>
      <w:r w:rsidR="00281005" w:rsidRPr="007F4E9F">
        <w:rPr>
          <w:rFonts w:ascii="Times New Roman" w:eastAsia="Times New Roman" w:hAnsi="Times New Roman" w:cs="Times New Roman"/>
        </w:rPr>
        <w:t xml:space="preserve"> facilitó el diálogo técnico-legal y crucial para la ejecución</w:t>
      </w:r>
      <w:r w:rsidR="00460255" w:rsidRPr="007F4E9F">
        <w:rPr>
          <w:rFonts w:ascii="Times New Roman" w:eastAsia="Times New Roman" w:hAnsi="Times New Roman" w:cs="Times New Roman"/>
        </w:rPr>
        <w:t xml:space="preserve"> del proyecto</w:t>
      </w:r>
      <w:r w:rsidR="00281005" w:rsidRPr="007F4E9F">
        <w:rPr>
          <w:rFonts w:ascii="Times New Roman" w:eastAsia="Times New Roman" w:hAnsi="Times New Roman" w:cs="Times New Roman"/>
        </w:rPr>
        <w:t>.</w:t>
      </w:r>
      <w:r w:rsidR="00460255" w:rsidRPr="007F4E9F">
        <w:rPr>
          <w:rFonts w:ascii="Times New Roman" w:eastAsia="Times New Roman" w:hAnsi="Times New Roman" w:cs="Times New Roman"/>
        </w:rPr>
        <w:t xml:space="preserve"> </w:t>
      </w:r>
    </w:p>
    <w:p w14:paraId="6C091556" w14:textId="5F724224" w:rsidR="00460255" w:rsidRPr="007F4E9F" w:rsidRDefault="00A57651" w:rsidP="0032235A">
      <w:pPr>
        <w:jc w:val="both"/>
        <w:rPr>
          <w:rFonts w:ascii="Times New Roman" w:eastAsia="Times New Roman" w:hAnsi="Times New Roman" w:cs="Times New Roman"/>
        </w:rPr>
      </w:pPr>
      <w:r w:rsidRPr="007F4E9F">
        <w:rPr>
          <w:rFonts w:ascii="Times New Roman" w:eastAsia="Times New Roman" w:hAnsi="Times New Roman" w:cs="Times New Roman"/>
        </w:rPr>
        <w:t>Incorporar en el equipo un profesional de TI que brindara soporte y mantenimiento a la plataforma fue crucial para mantener la plataforma en funcionamiento. Adicionalmente permitió identificar las fallas técnicas y carencias de la plataforma para elaborar un plan de mejoramiento y sostenibilidad de la plataforma, que de ser implementado permitirá mantener la operación y ampliar el alcance de la plataforma digital en economía circular.</w:t>
      </w:r>
    </w:p>
    <w:p w14:paraId="6F248924" w14:textId="30AB2115" w:rsidR="00A57651" w:rsidRPr="007F4E9F" w:rsidRDefault="00A57651" w:rsidP="0032235A">
      <w:pPr>
        <w:jc w:val="both"/>
        <w:rPr>
          <w:rFonts w:ascii="Times New Roman" w:eastAsia="Times New Roman" w:hAnsi="Times New Roman" w:cs="Times New Roman"/>
        </w:rPr>
      </w:pPr>
      <w:r w:rsidRPr="007F4E9F">
        <w:rPr>
          <w:rFonts w:ascii="Times New Roman" w:eastAsia="Times New Roman" w:hAnsi="Times New Roman" w:cs="Times New Roman"/>
        </w:rPr>
        <w:t xml:space="preserve">Vincular al equipo a un profesional especializado en mercadeo permitió posicionar mejor la plataforma, crearle una identidad en redes sociales y compartir eventos de valor especializado en economía circular. La permanencia del profesional en mercadeo mostró el potencial que tiene la plataforma y la pertinencia de intervenirla para que supere fallas técnicas y se convierta en una herramienta dinamizadora de los negocios circulares en la región. </w:t>
      </w:r>
    </w:p>
    <w:p w14:paraId="3A724D78" w14:textId="4E12B854" w:rsidR="00D25D1A" w:rsidRPr="007F4E9F" w:rsidRDefault="001B2C2E" w:rsidP="0032235A">
      <w:pPr>
        <w:jc w:val="both"/>
        <w:rPr>
          <w:rFonts w:ascii="Times New Roman" w:eastAsia="Times New Roman" w:hAnsi="Times New Roman" w:cs="Times New Roman"/>
        </w:rPr>
      </w:pPr>
      <w:r w:rsidRPr="007F4E9F">
        <w:rPr>
          <w:rFonts w:ascii="Times New Roman" w:eastAsia="Times New Roman" w:hAnsi="Times New Roman" w:cs="Times New Roman"/>
        </w:rPr>
        <w:t xml:space="preserve">Asimismo, se identifica como buena práctica </w:t>
      </w:r>
      <w:r w:rsidRPr="007F4E9F">
        <w:rPr>
          <w:rFonts w:ascii="Times New Roman" w:eastAsia="Times New Roman" w:hAnsi="Times New Roman" w:cs="Times New Roman"/>
          <w:b/>
          <w:bCs/>
        </w:rPr>
        <w:t>la incorporación de procesos participativos</w:t>
      </w:r>
      <w:r w:rsidRPr="007F4E9F">
        <w:rPr>
          <w:rFonts w:ascii="Times New Roman" w:eastAsia="Times New Roman" w:hAnsi="Times New Roman" w:cs="Times New Roman"/>
        </w:rPr>
        <w:t xml:space="preserve"> para la validación de propuestas de gobernanza y marcos normativos. Los talleres realizados y documentados en varias ciudades reflejan un esfuerzo deliberado por involucrar actores públicos y privados, lo cual es especialmente pertinente en iniciativas de economía circular que dependen de la apropiación institucional y del compromiso de los actores económicos. </w:t>
      </w:r>
      <w:bookmarkStart w:id="142" w:name="_Toc221539860"/>
    </w:p>
    <w:p w14:paraId="3F365026" w14:textId="09D5ECFE" w:rsidR="00D25D1A" w:rsidRPr="007F4E9F" w:rsidRDefault="00543776" w:rsidP="0032235A">
      <w:pPr>
        <w:jc w:val="both"/>
        <w:rPr>
          <w:rFonts w:ascii="Times New Roman" w:eastAsia="Times New Roman" w:hAnsi="Times New Roman" w:cs="Times New Roman"/>
        </w:rPr>
      </w:pPr>
      <w:r w:rsidRPr="007F4E9F">
        <w:rPr>
          <w:rFonts w:ascii="Times New Roman" w:eastAsia="Times New Roman" w:hAnsi="Times New Roman" w:cs="Times New Roman"/>
        </w:rPr>
        <w:t>En términos de contratación, l</w:t>
      </w:r>
      <w:r w:rsidR="009E0896" w:rsidRPr="007F4E9F">
        <w:rPr>
          <w:rFonts w:ascii="Times New Roman" w:eastAsia="Times New Roman" w:hAnsi="Times New Roman" w:cs="Times New Roman"/>
        </w:rPr>
        <w:t>a definición de criterios robustos en los términos de referencia permitió la contratación de empresas especializadas y con redes de contacto amplias en la región latinoamericana, especialmente para el componente 2. Esto permitió realizar estudios normativos a mayor detalle y validarlos con éxito.</w:t>
      </w:r>
    </w:p>
    <w:p w14:paraId="4BE8C331" w14:textId="0D7B8D2F" w:rsidR="00184AB6" w:rsidRDefault="007F4E9F" w:rsidP="00432A91">
      <w:pPr>
        <w:pStyle w:val="Heading1"/>
      </w:pPr>
      <w:bookmarkStart w:id="143" w:name="_Toc226750242"/>
      <w:bookmarkEnd w:id="142"/>
      <w:r w:rsidRPr="007F4E9F">
        <w:t>Recomendaciones estratégicas para la consolidación del proyecto y su aprovechamiento por parte de las contrapartes.</w:t>
      </w:r>
      <w:bookmarkEnd w:id="143"/>
    </w:p>
    <w:p w14:paraId="57E40662" w14:textId="77777777" w:rsidR="007F4E9F" w:rsidRPr="007F4E9F" w:rsidRDefault="007F4E9F" w:rsidP="0032235A">
      <w:pPr>
        <w:spacing w:after="0" w:line="240" w:lineRule="auto"/>
        <w:jc w:val="both"/>
        <w:rPr>
          <w:rFonts w:ascii="Times New Roman" w:eastAsia="Times New Roman" w:hAnsi="Times New Roman" w:cs="Times New Roman"/>
          <w:color w:val="000000" w:themeColor="text1"/>
          <w:lang w:eastAsia="es-ES"/>
        </w:rPr>
      </w:pPr>
    </w:p>
    <w:p w14:paraId="7442E333" w14:textId="69307ED7" w:rsidR="00A33D18" w:rsidRPr="007F4E9F" w:rsidRDefault="007909E6" w:rsidP="0032235A">
      <w:pPr>
        <w:spacing w:after="0" w:line="240" w:lineRule="auto"/>
        <w:jc w:val="both"/>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color w:val="000000" w:themeColor="text1"/>
          <w:lang w:eastAsia="es-ES"/>
        </w:rPr>
        <w:t xml:space="preserve">A </w:t>
      </w:r>
      <w:r w:rsidR="00246385" w:rsidRPr="007F4E9F">
        <w:rPr>
          <w:rFonts w:ascii="Times New Roman" w:eastAsia="Times New Roman" w:hAnsi="Times New Roman" w:cs="Times New Roman"/>
          <w:color w:val="000000" w:themeColor="text1"/>
          <w:lang w:eastAsia="es-ES"/>
        </w:rPr>
        <w:t>continuación,</w:t>
      </w:r>
      <w:r w:rsidRPr="007F4E9F">
        <w:rPr>
          <w:rFonts w:ascii="Times New Roman" w:eastAsia="Times New Roman" w:hAnsi="Times New Roman" w:cs="Times New Roman"/>
          <w:color w:val="000000" w:themeColor="text1"/>
          <w:lang w:eastAsia="es-ES"/>
        </w:rPr>
        <w:t xml:space="preserve"> se compilan una serie de recomendaciones </w:t>
      </w:r>
      <w:r w:rsidR="00246385" w:rsidRPr="007F4E9F">
        <w:rPr>
          <w:rFonts w:ascii="Times New Roman" w:eastAsia="Times New Roman" w:hAnsi="Times New Roman" w:cs="Times New Roman"/>
          <w:color w:val="000000" w:themeColor="text1"/>
          <w:lang w:eastAsia="es-ES"/>
        </w:rPr>
        <w:t>enfocados en fortalecer el cierre técnico del proyecto, basadas en la evaluación técnica y las percepciones d</w:t>
      </w:r>
      <w:r w:rsidR="00AB57C3" w:rsidRPr="007F4E9F">
        <w:rPr>
          <w:rFonts w:ascii="Times New Roman" w:eastAsia="Times New Roman" w:hAnsi="Times New Roman" w:cs="Times New Roman"/>
          <w:color w:val="000000" w:themeColor="text1"/>
          <w:lang w:eastAsia="es-ES"/>
        </w:rPr>
        <w:t xml:space="preserve">e </w:t>
      </w:r>
      <w:r w:rsidR="00246385" w:rsidRPr="007F4E9F">
        <w:rPr>
          <w:rFonts w:ascii="Times New Roman" w:eastAsia="Times New Roman" w:hAnsi="Times New Roman" w:cs="Times New Roman"/>
          <w:color w:val="000000" w:themeColor="text1"/>
          <w:lang w:eastAsia="es-ES"/>
        </w:rPr>
        <w:t xml:space="preserve">los actores consultados en la evaluación hasta el </w:t>
      </w:r>
      <w:commentRangeStart w:id="144"/>
      <w:r w:rsidR="00246385" w:rsidRPr="007F4E9F">
        <w:rPr>
          <w:rFonts w:ascii="Times New Roman" w:eastAsia="Times New Roman" w:hAnsi="Times New Roman" w:cs="Times New Roman"/>
          <w:color w:val="000000" w:themeColor="text1"/>
          <w:lang w:eastAsia="es-ES"/>
        </w:rPr>
        <w:t>momento de presentación del informe intermedio</w:t>
      </w:r>
      <w:commentRangeEnd w:id="144"/>
      <w:r w:rsidR="00C26D5A" w:rsidRPr="007F4E9F">
        <w:rPr>
          <w:rStyle w:val="CommentReference"/>
          <w:rFonts w:ascii="Times New Roman" w:eastAsia="Times New Roman" w:hAnsi="Times New Roman" w:cs="Times New Roman"/>
          <w:color w:val="000000" w:themeColor="text1"/>
          <w:sz w:val="22"/>
          <w:szCs w:val="22"/>
          <w:lang w:eastAsia="es-ES"/>
        </w:rPr>
        <w:commentReference w:id="144"/>
      </w:r>
      <w:r w:rsidR="00246385" w:rsidRPr="007F4E9F">
        <w:rPr>
          <w:rFonts w:ascii="Times New Roman" w:eastAsia="Times New Roman" w:hAnsi="Times New Roman" w:cs="Times New Roman"/>
          <w:color w:val="000000" w:themeColor="text1"/>
          <w:lang w:eastAsia="es-ES"/>
        </w:rPr>
        <w:t>.</w:t>
      </w:r>
      <w:r w:rsidR="00AB57C3" w:rsidRPr="007F4E9F">
        <w:rPr>
          <w:rFonts w:ascii="Times New Roman" w:eastAsia="Times New Roman" w:hAnsi="Times New Roman" w:cs="Times New Roman"/>
          <w:color w:val="000000" w:themeColor="text1"/>
          <w:lang w:eastAsia="es-ES"/>
        </w:rPr>
        <w:t xml:space="preserve"> Las recomendaciones estarán concentradas especialmente en la plataforma digital y el modelo de gobernanza y con menciones menores a la continuidad del fortalecimiento regulatorio</w:t>
      </w:r>
      <w:r w:rsidR="00C32FA9" w:rsidRPr="007F4E9F">
        <w:rPr>
          <w:rFonts w:ascii="Times New Roman" w:eastAsia="Times New Roman" w:hAnsi="Times New Roman" w:cs="Times New Roman"/>
          <w:color w:val="000000" w:themeColor="text1"/>
          <w:lang w:eastAsia="es-ES"/>
        </w:rPr>
        <w:t xml:space="preserve">. </w:t>
      </w:r>
    </w:p>
    <w:p w14:paraId="638471DF" w14:textId="088D9056" w:rsidR="00246385" w:rsidRPr="007F4E9F" w:rsidRDefault="00246385" w:rsidP="0032235A">
      <w:pPr>
        <w:spacing w:after="0" w:line="240" w:lineRule="auto"/>
        <w:jc w:val="both"/>
        <w:rPr>
          <w:rFonts w:ascii="Times New Roman" w:eastAsia="Times New Roman" w:hAnsi="Times New Roman" w:cs="Times New Roman"/>
          <w:color w:val="000000" w:themeColor="text1"/>
          <w:lang w:eastAsia="es-ES"/>
        </w:rPr>
      </w:pPr>
    </w:p>
    <w:p w14:paraId="2330B790" w14:textId="762413E5" w:rsidR="00C32FA9" w:rsidRPr="007F4E9F" w:rsidRDefault="00C32FA9" w:rsidP="0032235A">
      <w:pPr>
        <w:jc w:val="both"/>
        <w:rPr>
          <w:rFonts w:ascii="Times New Roman" w:hAnsi="Times New Roman"/>
          <w:lang w:eastAsia="es-ES"/>
        </w:rPr>
      </w:pPr>
      <w:r w:rsidRPr="007F4E9F">
        <w:rPr>
          <w:rFonts w:ascii="Times New Roman" w:hAnsi="Times New Roman"/>
          <w:lang w:eastAsia="es-ES"/>
        </w:rPr>
        <w:t>Con respecto al fortalecimiento normativo</w:t>
      </w:r>
      <w:commentRangeStart w:id="145"/>
      <w:r w:rsidRPr="007F4E9F">
        <w:rPr>
          <w:rFonts w:ascii="Times New Roman" w:hAnsi="Times New Roman"/>
          <w:lang w:eastAsia="es-ES"/>
        </w:rPr>
        <w:t xml:space="preserve">, ya se puesto </w:t>
      </w:r>
      <w:commentRangeEnd w:id="145"/>
      <w:r w:rsidR="006734EB" w:rsidRPr="007F4E9F">
        <w:rPr>
          <w:rStyle w:val="CommentReference"/>
          <w:rFonts w:ascii="Times New Roman" w:hAnsi="Times New Roman"/>
          <w:sz w:val="22"/>
          <w:szCs w:val="22"/>
          <w:lang w:eastAsia="es-ES"/>
        </w:rPr>
        <w:commentReference w:id="145"/>
      </w:r>
      <w:r w:rsidRPr="007F4E9F">
        <w:rPr>
          <w:rFonts w:ascii="Times New Roman" w:hAnsi="Times New Roman"/>
          <w:lang w:eastAsia="es-ES"/>
        </w:rPr>
        <w:t xml:space="preserve">en marcha con los diagnósticos por ciudad y las recomendaciones de fortalecimiento que se adelantan actualmente. Sin embargo, tal y como se exponía en la </w:t>
      </w:r>
      <w:commentRangeStart w:id="146"/>
      <w:r w:rsidRPr="007F4E9F">
        <w:rPr>
          <w:rFonts w:ascii="Times New Roman" w:hAnsi="Times New Roman"/>
          <w:lang w:eastAsia="es-ES"/>
        </w:rPr>
        <w:t xml:space="preserve">evacuación de la sostenibilidad </w:t>
      </w:r>
      <w:commentRangeEnd w:id="146"/>
      <w:r w:rsidR="006734EB" w:rsidRPr="007F4E9F">
        <w:rPr>
          <w:rStyle w:val="CommentReference"/>
          <w:rFonts w:ascii="Times New Roman" w:hAnsi="Times New Roman"/>
          <w:sz w:val="22"/>
          <w:szCs w:val="22"/>
          <w:lang w:eastAsia="es-ES"/>
        </w:rPr>
        <w:commentReference w:id="146"/>
      </w:r>
      <w:r w:rsidRPr="007F4E9F">
        <w:rPr>
          <w:rFonts w:ascii="Times New Roman" w:hAnsi="Times New Roman"/>
          <w:lang w:eastAsia="es-ES"/>
        </w:rPr>
        <w:t>del componente 2, es fundamental que se defina el intervalo de tiempo óptimo para este fortalecimiento. Esto teniendo en cuenta las dinámicas de actualización de las política y normativas de entidades públicas y las agendas legislativas de sus concejos municipales o la figura equivalente en las ciudades beneficiarias.</w:t>
      </w:r>
    </w:p>
    <w:p w14:paraId="58F632A4" w14:textId="77777777" w:rsidR="004F4A54" w:rsidRPr="007F4E9F" w:rsidRDefault="00C32FA9" w:rsidP="004F4A54">
      <w:pPr>
        <w:spacing w:line="240" w:lineRule="auto"/>
        <w:jc w:val="both"/>
        <w:rPr>
          <w:rFonts w:ascii="Times New Roman" w:hAnsi="Times New Roman"/>
          <w:lang w:eastAsia="es-ES"/>
        </w:rPr>
      </w:pPr>
      <w:r w:rsidRPr="007F4E9F">
        <w:rPr>
          <w:rFonts w:ascii="Times New Roman" w:hAnsi="Times New Roman"/>
          <w:lang w:eastAsia="es-ES"/>
        </w:rPr>
        <w:t xml:space="preserve">En materia del modelo de gobernanza como punto de encuentro entre el componente 1 y 2, se recomienda consolidar el modelo de gobernanza propuesto con sus respectivos mecanismos de coordinación. Especialmente se recomienda tener en cuenta las propuestas encaminadas a la operatividad y sostenibilidad de la plataforma. </w:t>
      </w:r>
      <w:r w:rsidR="004F4A54" w:rsidRPr="007F4E9F">
        <w:rPr>
          <w:rFonts w:ascii="Times New Roman" w:hAnsi="Times New Roman"/>
          <w:lang w:eastAsia="es-ES"/>
        </w:rPr>
        <w:t xml:space="preserve">Así mismo, es pertinente definir responsables directos </w:t>
      </w:r>
      <w:commentRangeStart w:id="147"/>
      <w:r w:rsidR="004F4A54" w:rsidRPr="007F4E9F">
        <w:rPr>
          <w:rFonts w:ascii="Times New Roman" w:hAnsi="Times New Roman"/>
          <w:lang w:eastAsia="es-ES"/>
        </w:rPr>
        <w:t xml:space="preserve">ara </w:t>
      </w:r>
      <w:commentRangeEnd w:id="147"/>
      <w:r w:rsidR="006734EB" w:rsidRPr="007F4E9F">
        <w:rPr>
          <w:rStyle w:val="CommentReference"/>
          <w:rFonts w:ascii="Times New Roman" w:hAnsi="Times New Roman"/>
          <w:sz w:val="22"/>
          <w:szCs w:val="22"/>
          <w:lang w:eastAsia="es-ES"/>
        </w:rPr>
        <w:commentReference w:id="147"/>
      </w:r>
      <w:r w:rsidR="004F4A54" w:rsidRPr="007F4E9F">
        <w:rPr>
          <w:rFonts w:ascii="Times New Roman" w:hAnsi="Times New Roman"/>
          <w:lang w:eastAsia="es-ES"/>
        </w:rPr>
        <w:t>cada uno de los niveles de gobernanza ya que actualmente solo se cuenta con recomendaciones de instituciones.</w:t>
      </w:r>
    </w:p>
    <w:p w14:paraId="7E8EB7EC" w14:textId="77777777" w:rsidR="00C32FA9" w:rsidRPr="007F4E9F" w:rsidRDefault="00C32FA9" w:rsidP="0032235A">
      <w:pPr>
        <w:spacing w:after="0" w:line="240" w:lineRule="auto"/>
        <w:jc w:val="both"/>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color w:val="000000" w:themeColor="text1"/>
          <w:lang w:eastAsia="es-ES"/>
        </w:rPr>
        <w:t xml:space="preserve">Por ser más extensas y críticas se finaliza con las recomendaciones vinculadas a la plataforma digital. </w:t>
      </w:r>
      <w:r w:rsidR="00AB57C3" w:rsidRPr="007F4E9F">
        <w:rPr>
          <w:rFonts w:ascii="Times New Roman" w:eastAsia="Times New Roman" w:hAnsi="Times New Roman" w:cs="Times New Roman"/>
          <w:color w:val="000000" w:themeColor="text1"/>
          <w:lang w:eastAsia="es-ES"/>
        </w:rPr>
        <w:t xml:space="preserve">A la fecha de cierre del presente informe, la plataforma permanece caída desde el 4 de febrero sin que haya sido posible su restablecimiento. </w:t>
      </w:r>
    </w:p>
    <w:p w14:paraId="6BF8D51B" w14:textId="77777777" w:rsidR="00C32FA9" w:rsidRPr="007F4E9F" w:rsidRDefault="00C32FA9" w:rsidP="0032235A">
      <w:pPr>
        <w:spacing w:after="0" w:line="240" w:lineRule="auto"/>
        <w:jc w:val="both"/>
        <w:rPr>
          <w:rFonts w:ascii="Times New Roman" w:eastAsia="Times New Roman" w:hAnsi="Times New Roman" w:cs="Times New Roman"/>
          <w:color w:val="000000" w:themeColor="text1"/>
          <w:lang w:eastAsia="es-ES"/>
        </w:rPr>
      </w:pPr>
    </w:p>
    <w:p w14:paraId="6872703B" w14:textId="62523F4B" w:rsidR="00EA4EB4" w:rsidRPr="007F4E9F" w:rsidRDefault="00C32FA9" w:rsidP="0032235A">
      <w:pPr>
        <w:spacing w:after="0" w:line="240" w:lineRule="auto"/>
        <w:jc w:val="both"/>
        <w:rPr>
          <w:rFonts w:ascii="Times New Roman" w:eastAsia="Times New Roman" w:hAnsi="Times New Roman" w:cs="Times New Roman"/>
          <w:color w:val="000000" w:themeColor="text1"/>
          <w:lang w:eastAsia="es-ES"/>
        </w:rPr>
      </w:pPr>
      <w:commentRangeStart w:id="148"/>
      <w:r w:rsidRPr="007F4E9F">
        <w:rPr>
          <w:rFonts w:ascii="Times New Roman" w:eastAsia="Times New Roman" w:hAnsi="Times New Roman" w:cs="Times New Roman"/>
          <w:color w:val="000000" w:themeColor="text1"/>
          <w:lang w:eastAsia="es-ES"/>
        </w:rPr>
        <w:t>E</w:t>
      </w:r>
      <w:r w:rsidR="00AB57C3" w:rsidRPr="007F4E9F">
        <w:rPr>
          <w:rFonts w:ascii="Times New Roman" w:eastAsia="Times New Roman" w:hAnsi="Times New Roman" w:cs="Times New Roman"/>
          <w:color w:val="000000" w:themeColor="text1"/>
          <w:lang w:eastAsia="es-ES"/>
        </w:rPr>
        <w:t>s fundamental atender a las recomendaciones realizadas en diciembre de 2025 por parte del consultor senior en TI Juan Camilo Ramírez y de la consultora senior en Mercadeo Laura Jimena Rojas. El informe del consultor senior en TI denominado “</w:t>
      </w:r>
      <w:r w:rsidR="00AB57C3" w:rsidRPr="007F4E9F">
        <w:rPr>
          <w:rFonts w:ascii="Times New Roman" w:eastAsia="Times New Roman" w:hAnsi="Times New Roman" w:cs="Times New Roman"/>
          <w:b/>
          <w:bCs/>
          <w:color w:val="000000" w:themeColor="text1"/>
          <w:lang w:eastAsia="es-ES"/>
        </w:rPr>
        <w:t xml:space="preserve">Diagnóstico, Gestión Técnica y Plan de Continuidad del Portal Marketplace EcMarketPlaceLatam” </w:t>
      </w:r>
      <w:r w:rsidR="00AB57C3" w:rsidRPr="007F4E9F">
        <w:rPr>
          <w:rFonts w:ascii="Times New Roman" w:eastAsia="Times New Roman" w:hAnsi="Times New Roman" w:cs="Times New Roman"/>
          <w:color w:val="000000" w:themeColor="text1"/>
          <w:lang w:eastAsia="es-ES"/>
        </w:rPr>
        <w:t>Entrega una serie de recomendaciones que por</w:t>
      </w:r>
      <w:r w:rsidR="00AB57C3" w:rsidRPr="007F4E9F">
        <w:rPr>
          <w:rFonts w:ascii="Times New Roman" w:eastAsia="Times New Roman" w:hAnsi="Times New Roman" w:cs="Times New Roman"/>
          <w:b/>
          <w:bCs/>
          <w:color w:val="000000" w:themeColor="text1"/>
          <w:lang w:eastAsia="es-ES"/>
        </w:rPr>
        <w:t xml:space="preserve"> </w:t>
      </w:r>
      <w:r w:rsidR="00AB57C3" w:rsidRPr="007F4E9F">
        <w:rPr>
          <w:rFonts w:ascii="Times New Roman" w:eastAsia="Times New Roman" w:hAnsi="Times New Roman" w:cs="Times New Roman"/>
          <w:color w:val="000000" w:themeColor="text1"/>
          <w:lang w:eastAsia="es-ES"/>
        </w:rPr>
        <w:t>ser netamente técnicas y extensas no se transcriben en este documento</w:t>
      </w:r>
      <w:r w:rsidR="00EA4EB4" w:rsidRPr="007F4E9F">
        <w:rPr>
          <w:rFonts w:ascii="Times New Roman" w:eastAsia="Times New Roman" w:hAnsi="Times New Roman" w:cs="Times New Roman"/>
          <w:color w:val="000000" w:themeColor="text1"/>
          <w:lang w:eastAsia="es-ES"/>
        </w:rPr>
        <w:t xml:space="preserve"> pero que son fundamentales en su totalidad para lograr el cierre técnico del producto central del convenio en la plataforma digital.</w:t>
      </w:r>
      <w:commentRangeEnd w:id="148"/>
      <w:r w:rsidR="006734EB" w:rsidRPr="007F4E9F">
        <w:rPr>
          <w:rStyle w:val="CommentReference"/>
          <w:rFonts w:ascii="Times New Roman" w:eastAsia="Times New Roman" w:hAnsi="Times New Roman" w:cs="Times New Roman"/>
          <w:color w:val="000000" w:themeColor="text1"/>
          <w:sz w:val="22"/>
          <w:szCs w:val="22"/>
          <w:lang w:eastAsia="es-ES"/>
        </w:rPr>
        <w:commentReference w:id="148"/>
      </w:r>
    </w:p>
    <w:p w14:paraId="4214DC73" w14:textId="3559F0C2" w:rsidR="00EA4EB4" w:rsidRPr="007F4E9F" w:rsidRDefault="00EA4EB4" w:rsidP="0032235A">
      <w:pPr>
        <w:spacing w:after="0" w:line="240" w:lineRule="auto"/>
        <w:jc w:val="both"/>
        <w:rPr>
          <w:rFonts w:ascii="Times New Roman" w:eastAsia="Times New Roman" w:hAnsi="Times New Roman" w:cs="Times New Roman"/>
          <w:color w:val="000000" w:themeColor="text1"/>
          <w:lang w:eastAsia="es-ES"/>
        </w:rPr>
      </w:pPr>
    </w:p>
    <w:p w14:paraId="7E2544B6" w14:textId="2739EE38" w:rsidR="005E1A3F" w:rsidRPr="007F4E9F" w:rsidRDefault="001573FB" w:rsidP="0032235A">
      <w:pPr>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color w:val="000000" w:themeColor="text1"/>
          <w:lang w:eastAsia="es-ES"/>
        </w:rPr>
        <w:t>Adicionalmente, d</w:t>
      </w:r>
      <w:r w:rsidR="00EA4EB4" w:rsidRPr="007F4E9F">
        <w:rPr>
          <w:rFonts w:ascii="Times New Roman" w:eastAsia="Times New Roman" w:hAnsi="Times New Roman" w:cs="Times New Roman"/>
          <w:color w:val="000000" w:themeColor="text1"/>
          <w:lang w:eastAsia="es-ES"/>
        </w:rPr>
        <w:t xml:space="preserve">urante la evaluación </w:t>
      </w:r>
      <w:r w:rsidR="003C659D" w:rsidRPr="007F4E9F">
        <w:rPr>
          <w:rFonts w:ascii="Times New Roman" w:eastAsia="Times New Roman" w:hAnsi="Times New Roman" w:cs="Times New Roman"/>
          <w:color w:val="000000" w:themeColor="text1"/>
          <w:lang w:eastAsia="es-ES"/>
        </w:rPr>
        <w:t>se identificaron oportunidades de mejora para la experiencia del usuario</w:t>
      </w:r>
      <w:r w:rsidRPr="007F4E9F">
        <w:rPr>
          <w:rFonts w:ascii="Times New Roman" w:eastAsia="Times New Roman" w:hAnsi="Times New Roman" w:cs="Times New Roman"/>
          <w:color w:val="000000" w:themeColor="text1"/>
          <w:lang w:eastAsia="es-ES"/>
        </w:rPr>
        <w:t xml:space="preserve"> que motivaron </w:t>
      </w:r>
      <w:r w:rsidR="003C659D" w:rsidRPr="007F4E9F">
        <w:rPr>
          <w:rFonts w:ascii="Times New Roman" w:eastAsia="Times New Roman" w:hAnsi="Times New Roman" w:cs="Times New Roman"/>
          <w:color w:val="000000" w:themeColor="text1"/>
          <w:lang w:eastAsia="es-ES"/>
        </w:rPr>
        <w:t>una evaluación heurística</w:t>
      </w:r>
      <w:r w:rsidRPr="007F4E9F">
        <w:rPr>
          <w:rFonts w:ascii="Times New Roman" w:eastAsia="Times New Roman" w:hAnsi="Times New Roman" w:cs="Times New Roman"/>
          <w:color w:val="000000" w:themeColor="text1"/>
          <w:lang w:eastAsia="es-ES"/>
        </w:rPr>
        <w:t>. Esta evaluación entregó</w:t>
      </w:r>
      <w:r w:rsidR="003C659D" w:rsidRPr="007F4E9F">
        <w:rPr>
          <w:rFonts w:ascii="Times New Roman" w:eastAsia="Times New Roman" w:hAnsi="Times New Roman" w:cs="Times New Roman"/>
          <w:color w:val="000000" w:themeColor="text1"/>
          <w:lang w:eastAsia="es-ES"/>
        </w:rPr>
        <w:t xml:space="preserve"> una serie de elementos encaminados a mejorar la usabilidad de la plataforma</w:t>
      </w:r>
      <w:r w:rsidR="00BB5F26" w:rsidRPr="007F4E9F">
        <w:rPr>
          <w:rFonts w:ascii="Times New Roman" w:eastAsia="Times New Roman" w:hAnsi="Times New Roman" w:cs="Times New Roman"/>
          <w:color w:val="000000" w:themeColor="text1"/>
          <w:lang w:eastAsia="es-ES"/>
        </w:rPr>
        <w:t>.</w:t>
      </w:r>
      <w:r w:rsidR="00DB7F85" w:rsidRPr="007F4E9F">
        <w:rPr>
          <w:rFonts w:ascii="Times New Roman" w:eastAsia="Times New Roman" w:hAnsi="Times New Roman" w:cs="Times New Roman"/>
          <w:color w:val="000000" w:themeColor="text1"/>
          <w:lang w:eastAsia="es-ES"/>
        </w:rPr>
        <w:t xml:space="preserve"> </w:t>
      </w:r>
      <w:r w:rsidR="005E1A3F" w:rsidRPr="007F4E9F">
        <w:rPr>
          <w:rFonts w:ascii="Times New Roman" w:eastAsia="Times New Roman" w:hAnsi="Times New Roman" w:cs="Times New Roman"/>
        </w:rPr>
        <w:t xml:space="preserve">La tabla </w:t>
      </w:r>
      <w:r w:rsidR="003E013D" w:rsidRPr="007F4E9F">
        <w:rPr>
          <w:rFonts w:ascii="Times New Roman" w:eastAsia="Times New Roman" w:hAnsi="Times New Roman" w:cs="Times New Roman"/>
        </w:rPr>
        <w:t>14</w:t>
      </w:r>
      <w:r w:rsidR="005E1A3F" w:rsidRPr="007F4E9F">
        <w:rPr>
          <w:rFonts w:ascii="Times New Roman" w:eastAsia="Times New Roman" w:hAnsi="Times New Roman" w:cs="Times New Roman"/>
        </w:rPr>
        <w:t xml:space="preserve"> presenta un análisis técnico </w:t>
      </w:r>
      <w:r w:rsidR="00F211DC" w:rsidRPr="007F4E9F">
        <w:rPr>
          <w:rFonts w:ascii="Times New Roman" w:eastAsia="Times New Roman" w:hAnsi="Times New Roman" w:cs="Times New Roman"/>
        </w:rPr>
        <w:t>que permite</w:t>
      </w:r>
      <w:r w:rsidR="005E1A3F" w:rsidRPr="007F4E9F">
        <w:rPr>
          <w:rFonts w:ascii="Times New Roman" w:eastAsia="Times New Roman" w:hAnsi="Times New Roman" w:cs="Times New Roman"/>
        </w:rPr>
        <w:t xml:space="preserve"> verificar los elementos fundamentales </w:t>
      </w:r>
      <w:r w:rsidR="00DB7F85" w:rsidRPr="007F4E9F">
        <w:rPr>
          <w:rFonts w:ascii="Times New Roman" w:eastAsia="Times New Roman" w:hAnsi="Times New Roman" w:cs="Times New Roman"/>
        </w:rPr>
        <w:t>de la plataforma y</w:t>
      </w:r>
      <w:r w:rsidR="005E1A3F" w:rsidRPr="007F4E9F">
        <w:rPr>
          <w:rFonts w:ascii="Times New Roman" w:eastAsia="Times New Roman" w:hAnsi="Times New Roman" w:cs="Times New Roman"/>
        </w:rPr>
        <w:t xml:space="preserve"> sienta las bases para el lanzamiento exitoso y la sostenibilidad a largo plazo del Marketplace de Economía Circular.</w:t>
      </w:r>
    </w:p>
    <w:p w14:paraId="510542A1" w14:textId="77777777" w:rsidR="00DB7F85" w:rsidRPr="007F4E9F" w:rsidRDefault="00DB7F85" w:rsidP="0032235A">
      <w:pPr>
        <w:spacing w:after="0" w:line="240" w:lineRule="auto"/>
        <w:jc w:val="both"/>
        <w:rPr>
          <w:rFonts w:ascii="Times New Roman" w:eastAsia="Times New Roman" w:hAnsi="Times New Roman" w:cs="Times New Roman"/>
          <w:b/>
          <w:bCs/>
          <w:color w:val="4F81BD"/>
        </w:rPr>
      </w:pPr>
    </w:p>
    <w:p w14:paraId="00688003" w14:textId="3EC4530E" w:rsidR="003E013D" w:rsidRPr="007F4E9F" w:rsidRDefault="003E013D" w:rsidP="0032235A">
      <w:pPr>
        <w:pStyle w:val="Caption"/>
        <w:keepNext/>
        <w:jc w:val="both"/>
        <w:rPr>
          <w:rFonts w:ascii="Times New Roman" w:hAnsi="Times New Roman"/>
          <w:i/>
          <w:iCs/>
          <w:sz w:val="22"/>
        </w:rPr>
      </w:pPr>
      <w:bookmarkStart w:id="149" w:name="_Toc225848240"/>
      <w:r w:rsidRPr="007F4E9F">
        <w:rPr>
          <w:rFonts w:ascii="Times New Roman" w:hAnsi="Times New Roman"/>
          <w:sz w:val="22"/>
        </w:rPr>
        <w:t xml:space="preserve">Tabla </w:t>
      </w:r>
      <w:r w:rsidRPr="007F4E9F">
        <w:rPr>
          <w:rFonts w:ascii="Times New Roman" w:hAnsi="Times New Roman"/>
          <w:sz w:val="22"/>
        </w:rPr>
        <w:fldChar w:fldCharType="begin"/>
      </w:r>
      <w:r w:rsidRPr="007F4E9F">
        <w:rPr>
          <w:rFonts w:ascii="Times New Roman" w:hAnsi="Times New Roman"/>
          <w:sz w:val="22"/>
        </w:rPr>
        <w:instrText xml:space="preserve"> SEQ Tabla \* ARABIC </w:instrText>
      </w:r>
      <w:r w:rsidRPr="007F4E9F">
        <w:rPr>
          <w:rFonts w:ascii="Times New Roman" w:hAnsi="Times New Roman"/>
          <w:sz w:val="22"/>
        </w:rPr>
        <w:fldChar w:fldCharType="separate"/>
      </w:r>
      <w:r w:rsidR="00CB1A80" w:rsidRPr="007F4E9F">
        <w:rPr>
          <w:rFonts w:ascii="Times New Roman" w:hAnsi="Times New Roman"/>
          <w:noProof/>
          <w:sz w:val="22"/>
        </w:rPr>
        <w:t>14</w:t>
      </w:r>
      <w:r w:rsidRPr="007F4E9F">
        <w:rPr>
          <w:rFonts w:ascii="Times New Roman" w:hAnsi="Times New Roman"/>
          <w:sz w:val="22"/>
        </w:rPr>
        <w:fldChar w:fldCharType="end"/>
      </w:r>
      <w:r w:rsidRPr="007F4E9F">
        <w:rPr>
          <w:rFonts w:ascii="Times New Roman" w:hAnsi="Times New Roman"/>
          <w:sz w:val="22"/>
        </w:rPr>
        <w:t xml:space="preserve"> </w:t>
      </w:r>
      <w:r w:rsidRPr="007F4E9F">
        <w:rPr>
          <w:rFonts w:ascii="Times New Roman" w:hAnsi="Times New Roman"/>
          <w:i/>
          <w:iCs/>
          <w:sz w:val="22"/>
        </w:rPr>
        <w:t>Recomendaciones lanzamiento y sostenibilidad de la plataforma web</w:t>
      </w:r>
      <w:bookmarkEnd w:id="149"/>
    </w:p>
    <w:tbl>
      <w:tblPr>
        <w:tblW w:w="86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80"/>
        <w:gridCol w:w="5805"/>
      </w:tblGrid>
      <w:tr w:rsidR="00A04240" w:rsidRPr="007F4E9F" w14:paraId="6CDD6888" w14:textId="77777777" w:rsidTr="003B4830">
        <w:trPr>
          <w:trHeight w:val="477"/>
        </w:trPr>
        <w:tc>
          <w:tcPr>
            <w:tcW w:w="2880" w:type="dxa"/>
            <w:tcMar>
              <w:top w:w="100" w:type="dxa"/>
              <w:left w:w="100" w:type="dxa"/>
              <w:bottom w:w="100" w:type="dxa"/>
              <w:right w:w="100" w:type="dxa"/>
            </w:tcMar>
            <w:vAlign w:val="center"/>
          </w:tcPr>
          <w:p w14:paraId="122060D8" w14:textId="77777777" w:rsidR="00A04240" w:rsidRPr="007F4E9F" w:rsidRDefault="00A04240" w:rsidP="003B4830">
            <w:pPr>
              <w:widowControl w:val="0"/>
              <w:spacing w:after="0" w:line="240" w:lineRule="auto"/>
              <w:jc w:val="both"/>
              <w:rPr>
                <w:rFonts w:ascii="Times New Roman" w:eastAsia="Times New Roman" w:hAnsi="Times New Roman" w:cs="Times New Roman"/>
                <w:b/>
                <w:bCs/>
              </w:rPr>
            </w:pPr>
            <w:r w:rsidRPr="007F4E9F">
              <w:rPr>
                <w:rFonts w:ascii="Times New Roman" w:eastAsia="Times New Roman" w:hAnsi="Times New Roman" w:cs="Times New Roman"/>
                <w:b/>
                <w:bCs/>
              </w:rPr>
              <w:t>Elemento</w:t>
            </w:r>
          </w:p>
        </w:tc>
        <w:tc>
          <w:tcPr>
            <w:tcW w:w="5805" w:type="dxa"/>
            <w:tcMar>
              <w:top w:w="100" w:type="dxa"/>
              <w:left w:w="100" w:type="dxa"/>
              <w:bottom w:w="100" w:type="dxa"/>
              <w:right w:w="100" w:type="dxa"/>
            </w:tcMar>
            <w:vAlign w:val="center"/>
          </w:tcPr>
          <w:p w14:paraId="7F2FEE7F" w14:textId="77777777" w:rsidR="00A04240" w:rsidRPr="007F4E9F" w:rsidRDefault="00A04240" w:rsidP="003B4830">
            <w:pPr>
              <w:widowControl w:val="0"/>
              <w:spacing w:after="0" w:line="240" w:lineRule="auto"/>
              <w:jc w:val="both"/>
              <w:rPr>
                <w:rFonts w:ascii="Times New Roman" w:eastAsia="Times New Roman" w:hAnsi="Times New Roman" w:cs="Times New Roman"/>
                <w:b/>
                <w:bCs/>
              </w:rPr>
            </w:pPr>
            <w:r w:rsidRPr="007F4E9F">
              <w:rPr>
                <w:rFonts w:ascii="Times New Roman" w:eastAsia="Times New Roman" w:hAnsi="Times New Roman" w:cs="Times New Roman"/>
                <w:b/>
                <w:bCs/>
              </w:rPr>
              <w:t xml:space="preserve">Análisis </w:t>
            </w:r>
            <w:commentRangeStart w:id="150"/>
            <w:r w:rsidRPr="007F4E9F">
              <w:rPr>
                <w:rFonts w:ascii="Times New Roman" w:eastAsia="Times New Roman" w:hAnsi="Times New Roman" w:cs="Times New Roman"/>
                <w:b/>
                <w:bCs/>
              </w:rPr>
              <w:t>técnico</w:t>
            </w:r>
            <w:commentRangeEnd w:id="150"/>
            <w:r w:rsidR="006734EB" w:rsidRPr="007F4E9F">
              <w:rPr>
                <w:rStyle w:val="CommentReference"/>
                <w:rFonts w:ascii="Times New Roman" w:eastAsia="Times New Roman" w:hAnsi="Times New Roman" w:cs="Times New Roman"/>
                <w:b/>
                <w:bCs/>
                <w:sz w:val="22"/>
                <w:szCs w:val="22"/>
              </w:rPr>
              <w:commentReference w:id="150"/>
            </w:r>
          </w:p>
        </w:tc>
      </w:tr>
      <w:tr w:rsidR="00A04240" w:rsidRPr="007F4E9F" w14:paraId="22CF0E64" w14:textId="77777777" w:rsidTr="003B4830">
        <w:tc>
          <w:tcPr>
            <w:tcW w:w="2880" w:type="dxa"/>
            <w:tcMar>
              <w:top w:w="100" w:type="dxa"/>
              <w:left w:w="100" w:type="dxa"/>
              <w:bottom w:w="100" w:type="dxa"/>
              <w:right w:w="100" w:type="dxa"/>
            </w:tcMar>
            <w:vAlign w:val="center"/>
          </w:tcPr>
          <w:p w14:paraId="050026EA" w14:textId="77777777" w:rsidR="00A04240" w:rsidRPr="007F4E9F" w:rsidRDefault="00A04240" w:rsidP="003B4830">
            <w:pPr>
              <w:widowControl w:val="0"/>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 xml:space="preserve"> Es muy recomendable entregar manuales de usuario y videos de uso y apropiación.</w:t>
            </w:r>
          </w:p>
        </w:tc>
        <w:tc>
          <w:tcPr>
            <w:tcW w:w="5805" w:type="dxa"/>
            <w:tcMar>
              <w:top w:w="100" w:type="dxa"/>
              <w:left w:w="100" w:type="dxa"/>
              <w:bottom w:w="100" w:type="dxa"/>
              <w:right w:w="100" w:type="dxa"/>
            </w:tcMar>
            <w:vAlign w:val="center"/>
          </w:tcPr>
          <w:p w14:paraId="71E19C12" w14:textId="77777777" w:rsidR="00A04240" w:rsidRPr="007F4E9F" w:rsidRDefault="00A04240" w:rsidP="003B4830">
            <w:pPr>
              <w:widowControl w:val="0"/>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La evaluación a través del Análisis de Criterios de Inspección Heurística (ver anexo 5 y 6) muestra que, aunque se entregan los manuales en PDF, la plataforma en sí misma carece de una ruta clara de ayuda contextual. El usuario debe salir del sitio para ver el manual en lugar de tener tooltips o ayudas en pantalla.</w:t>
            </w:r>
          </w:p>
          <w:p w14:paraId="772D6029" w14:textId="77777777" w:rsidR="00A04240" w:rsidRPr="007F4E9F" w:rsidRDefault="00A04240" w:rsidP="003B4830">
            <w:pPr>
              <w:widowControl w:val="0"/>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Se realizaron pruebas con usuarios reales y validaciones que detectaron problemas de usabilidad, pero siguen persistiendo asuntos como que no se puede leer el texto de búsqueda o que los enlaces de contacto no sirven.</w:t>
            </w:r>
          </w:p>
        </w:tc>
      </w:tr>
      <w:tr w:rsidR="00A04240" w:rsidRPr="007F4E9F" w14:paraId="270C2046" w14:textId="77777777" w:rsidTr="003B4830">
        <w:tc>
          <w:tcPr>
            <w:tcW w:w="2880" w:type="dxa"/>
            <w:tcMar>
              <w:top w:w="100" w:type="dxa"/>
              <w:left w:w="100" w:type="dxa"/>
              <w:bottom w:w="100" w:type="dxa"/>
              <w:right w:w="100" w:type="dxa"/>
            </w:tcMar>
            <w:vAlign w:val="center"/>
          </w:tcPr>
          <w:p w14:paraId="7C67D1CA" w14:textId="77777777" w:rsidR="00A04240" w:rsidRPr="007F4E9F" w:rsidRDefault="00A04240" w:rsidP="003B4830">
            <w:pPr>
              <w:widowControl w:val="0"/>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Es muy pertinente presentar la estructura y mapa del sitio al equipo.</w:t>
            </w:r>
          </w:p>
        </w:tc>
        <w:tc>
          <w:tcPr>
            <w:tcW w:w="5805" w:type="dxa"/>
            <w:tcMar>
              <w:top w:w="100" w:type="dxa"/>
              <w:left w:w="100" w:type="dxa"/>
              <w:bottom w:w="100" w:type="dxa"/>
              <w:right w:w="100" w:type="dxa"/>
            </w:tcMar>
            <w:vAlign w:val="center"/>
          </w:tcPr>
          <w:p w14:paraId="35E82CD1" w14:textId="77777777" w:rsidR="00A04240" w:rsidRPr="007F4E9F" w:rsidRDefault="00A04240" w:rsidP="003B4830">
            <w:pPr>
              <w:widowControl w:val="0"/>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La evaluación a través del Análisis de Criterios de Inspección Heurística (ver anexo 5 y 6) muestra que, aunque el alcance contractual del contrato exige “mitigar las brechas”. Permitir la inyección de datos no sanitizados en formularios de registro es una vulnerabilidad (</w:t>
            </w:r>
            <w:commentRangeStart w:id="151"/>
            <w:r w:rsidRPr="007F4E9F">
              <w:rPr>
                <w:rFonts w:ascii="Times New Roman" w:eastAsia="Times New Roman" w:hAnsi="Times New Roman" w:cs="Times New Roman"/>
              </w:rPr>
              <w:t>OWASP</w:t>
            </w:r>
            <w:commentRangeEnd w:id="151"/>
            <w:r w:rsidR="009D00D4" w:rsidRPr="007F4E9F">
              <w:rPr>
                <w:rStyle w:val="CommentReference"/>
                <w:rFonts w:ascii="Times New Roman" w:eastAsia="Times New Roman" w:hAnsi="Times New Roman" w:cs="Times New Roman"/>
                <w:sz w:val="22"/>
                <w:szCs w:val="22"/>
              </w:rPr>
              <w:commentReference w:id="151"/>
            </w:r>
            <w:r w:rsidRPr="007F4E9F">
              <w:rPr>
                <w:rFonts w:ascii="Times New Roman" w:eastAsia="Times New Roman" w:hAnsi="Times New Roman" w:cs="Times New Roman"/>
              </w:rPr>
              <w:t>) que es muy recomendable sea tenida en cuenta hacia el futuro del desarrollo.</w:t>
            </w:r>
          </w:p>
        </w:tc>
      </w:tr>
      <w:tr w:rsidR="00A04240" w:rsidRPr="007F4E9F" w14:paraId="08EC80D1" w14:textId="77777777" w:rsidTr="003B4830">
        <w:tc>
          <w:tcPr>
            <w:tcW w:w="2880" w:type="dxa"/>
            <w:tcMar>
              <w:top w:w="100" w:type="dxa"/>
              <w:left w:w="100" w:type="dxa"/>
              <w:bottom w:w="100" w:type="dxa"/>
              <w:right w:w="100" w:type="dxa"/>
            </w:tcMar>
            <w:vAlign w:val="center"/>
          </w:tcPr>
          <w:p w14:paraId="173EE8CF" w14:textId="77777777" w:rsidR="00A04240" w:rsidRPr="007F4E9F" w:rsidRDefault="00A04240" w:rsidP="003B4830">
            <w:pPr>
              <w:widowControl w:val="0"/>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Se recomienda entregar una guía del sistema de diseño, que contenga todos los aspectos necesarios para su gestión futura.</w:t>
            </w:r>
          </w:p>
        </w:tc>
        <w:tc>
          <w:tcPr>
            <w:tcW w:w="5805" w:type="dxa"/>
            <w:tcMar>
              <w:top w:w="100" w:type="dxa"/>
              <w:left w:w="100" w:type="dxa"/>
              <w:bottom w:w="100" w:type="dxa"/>
              <w:right w:w="100" w:type="dxa"/>
            </w:tcMar>
            <w:vAlign w:val="center"/>
          </w:tcPr>
          <w:p w14:paraId="63761CB2" w14:textId="77777777" w:rsidR="00A04240" w:rsidRPr="007F4E9F" w:rsidRDefault="00A04240" w:rsidP="003B4830">
            <w:pPr>
              <w:widowControl w:val="0"/>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La evaluación a través del Análisis de Criterios de Inspección Heurística (ver anexo 5 y 6) muestra que el sistema de diseño actual permite fallas de diseño que rompen la interfaz, lo que prueba que la guía no es robusta para la gestión futura.</w:t>
            </w:r>
          </w:p>
          <w:p w14:paraId="4537CE27" w14:textId="77777777" w:rsidR="00A04240" w:rsidRPr="007F4E9F" w:rsidRDefault="00A04240" w:rsidP="003B4830">
            <w:pPr>
              <w:widowControl w:val="0"/>
              <w:spacing w:after="0" w:line="240" w:lineRule="auto"/>
              <w:jc w:val="both"/>
              <w:rPr>
                <w:rFonts w:ascii="Times New Roman" w:eastAsia="Times New Roman" w:hAnsi="Times New Roman" w:cs="Times New Roman"/>
              </w:rPr>
            </w:pPr>
          </w:p>
        </w:tc>
      </w:tr>
      <w:tr w:rsidR="00A04240" w:rsidRPr="007F4E9F" w14:paraId="42156040" w14:textId="77777777" w:rsidTr="003B4830">
        <w:tc>
          <w:tcPr>
            <w:tcW w:w="2880" w:type="dxa"/>
            <w:tcMar>
              <w:top w:w="100" w:type="dxa"/>
              <w:left w:w="100" w:type="dxa"/>
              <w:bottom w:w="100" w:type="dxa"/>
              <w:right w:w="100" w:type="dxa"/>
            </w:tcMar>
            <w:vAlign w:val="center"/>
          </w:tcPr>
          <w:p w14:paraId="741692D0" w14:textId="77777777" w:rsidR="00A04240" w:rsidRPr="007F4E9F" w:rsidRDefault="00A04240" w:rsidP="003B4830">
            <w:pPr>
              <w:widowControl w:val="0"/>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Se realizará una capacitación para la gestión de contenidos (textos, imágenes, íconos, videos, gestión de productos) por parte del operador.</w:t>
            </w:r>
          </w:p>
        </w:tc>
        <w:tc>
          <w:tcPr>
            <w:tcW w:w="5805" w:type="dxa"/>
            <w:tcMar>
              <w:top w:w="100" w:type="dxa"/>
              <w:left w:w="100" w:type="dxa"/>
              <w:bottom w:w="100" w:type="dxa"/>
              <w:right w:w="100" w:type="dxa"/>
            </w:tcMar>
            <w:vAlign w:val="center"/>
          </w:tcPr>
          <w:p w14:paraId="210B1AF1" w14:textId="77777777" w:rsidR="00A04240" w:rsidRPr="007F4E9F" w:rsidRDefault="00A04240" w:rsidP="003B4830">
            <w:pPr>
              <w:widowControl w:val="0"/>
              <w:spacing w:after="0" w:line="240" w:lineRule="auto"/>
              <w:jc w:val="both"/>
              <w:rPr>
                <w:rFonts w:ascii="Times New Roman" w:eastAsia="Times New Roman" w:hAnsi="Times New Roman" w:cs="Times New Roman"/>
                <w:b/>
                <w:bCs/>
              </w:rPr>
            </w:pPr>
            <w:r w:rsidRPr="007F4E9F">
              <w:rPr>
                <w:rFonts w:ascii="Times New Roman" w:eastAsia="Times New Roman" w:hAnsi="Times New Roman" w:cs="Times New Roman"/>
              </w:rPr>
              <w:t>Se entregan evidencias del proceso de capacitación.</w:t>
            </w:r>
          </w:p>
        </w:tc>
      </w:tr>
      <w:tr w:rsidR="00A04240" w:rsidRPr="007F4E9F" w14:paraId="470FF252" w14:textId="77777777" w:rsidTr="003B4830">
        <w:tc>
          <w:tcPr>
            <w:tcW w:w="2880" w:type="dxa"/>
            <w:tcMar>
              <w:top w:w="100" w:type="dxa"/>
              <w:left w:w="100" w:type="dxa"/>
              <w:bottom w:w="100" w:type="dxa"/>
              <w:right w:w="100" w:type="dxa"/>
            </w:tcMar>
            <w:vAlign w:val="center"/>
          </w:tcPr>
          <w:p w14:paraId="491A42C7" w14:textId="77777777" w:rsidR="00A04240" w:rsidRPr="007F4E9F" w:rsidRDefault="00A04240" w:rsidP="003B4830">
            <w:pPr>
              <w:widowControl w:val="0"/>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Se llevará a cabo una entrega final del diseño del sitio, en el cual se entreguen las llaves de seguridad pública y privada del sitio, así como los accesos</w:t>
            </w:r>
          </w:p>
          <w:p w14:paraId="0F80A9BB" w14:textId="77777777" w:rsidR="00A04240" w:rsidRPr="007F4E9F" w:rsidRDefault="00A04240" w:rsidP="003B4830">
            <w:pPr>
              <w:widowControl w:val="0"/>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necesarios para su gestión futura.</w:t>
            </w:r>
          </w:p>
        </w:tc>
        <w:tc>
          <w:tcPr>
            <w:tcW w:w="5805" w:type="dxa"/>
            <w:tcMar>
              <w:top w:w="100" w:type="dxa"/>
              <w:left w:w="100" w:type="dxa"/>
              <w:bottom w:w="100" w:type="dxa"/>
              <w:right w:w="100" w:type="dxa"/>
            </w:tcMar>
            <w:vAlign w:val="center"/>
          </w:tcPr>
          <w:p w14:paraId="55FC31D1" w14:textId="77777777" w:rsidR="00A04240" w:rsidRPr="007F4E9F" w:rsidRDefault="00A04240" w:rsidP="003B4830">
            <w:pPr>
              <w:widowControl w:val="0"/>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La evaluación a través del Análisis de Criterios de Inspección Heurística (ver anexo 5 y 6) muestra que se entregan los accesos, pero se están entregando las llaves de un sitio con navegación defectuosa (“Broken Navigation”). El diseño final contiene errores de flujo.</w:t>
            </w:r>
          </w:p>
        </w:tc>
      </w:tr>
      <w:tr w:rsidR="00A04240" w:rsidRPr="007F4E9F" w14:paraId="51BF45FD" w14:textId="77777777" w:rsidTr="003B4830">
        <w:tc>
          <w:tcPr>
            <w:tcW w:w="2880" w:type="dxa"/>
            <w:tcMar>
              <w:top w:w="100" w:type="dxa"/>
              <w:left w:w="100" w:type="dxa"/>
              <w:bottom w:w="100" w:type="dxa"/>
              <w:right w:w="100" w:type="dxa"/>
            </w:tcMar>
            <w:vAlign w:val="center"/>
          </w:tcPr>
          <w:p w14:paraId="49D013FF" w14:textId="77777777" w:rsidR="00A04240" w:rsidRPr="007F4E9F" w:rsidRDefault="00A04240" w:rsidP="003B4830">
            <w:pPr>
              <w:widowControl w:val="0"/>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Se recomienda entregar el cronograma de actualización de software, parches de seguridad, mantenimientos preventivos y correctivos al código y al software.</w:t>
            </w:r>
          </w:p>
        </w:tc>
        <w:tc>
          <w:tcPr>
            <w:tcW w:w="5805" w:type="dxa"/>
            <w:tcMar>
              <w:top w:w="100" w:type="dxa"/>
              <w:left w:w="100" w:type="dxa"/>
              <w:bottom w:w="100" w:type="dxa"/>
              <w:right w:w="100" w:type="dxa"/>
            </w:tcMar>
            <w:vAlign w:val="center"/>
          </w:tcPr>
          <w:p w14:paraId="4E9C002B" w14:textId="77777777" w:rsidR="00A04240" w:rsidRPr="007F4E9F" w:rsidRDefault="00A04240" w:rsidP="003B4830">
            <w:pPr>
              <w:widowControl w:val="0"/>
              <w:spacing w:after="0" w:line="240" w:lineRule="auto"/>
              <w:jc w:val="both"/>
              <w:rPr>
                <w:rFonts w:ascii="Times New Roman" w:eastAsia="Times New Roman" w:hAnsi="Times New Roman" w:cs="Times New Roman"/>
                <w:b/>
                <w:bCs/>
              </w:rPr>
            </w:pPr>
            <w:r w:rsidRPr="007F4E9F">
              <w:rPr>
                <w:rFonts w:ascii="Times New Roman" w:eastAsia="Times New Roman" w:hAnsi="Times New Roman" w:cs="Times New Roman"/>
              </w:rPr>
              <w:t>Se entrega la obligación del mantenimiento por un año. (ej. "Revisión mensual de logs", "Actualización trimestral de plugins").</w:t>
            </w:r>
          </w:p>
        </w:tc>
      </w:tr>
      <w:tr w:rsidR="00A04240" w:rsidRPr="007F4E9F" w14:paraId="2B5D061B" w14:textId="77777777" w:rsidTr="003B4830">
        <w:tc>
          <w:tcPr>
            <w:tcW w:w="2880" w:type="dxa"/>
            <w:tcMar>
              <w:top w:w="100" w:type="dxa"/>
              <w:left w:w="100" w:type="dxa"/>
              <w:bottom w:w="100" w:type="dxa"/>
              <w:right w:w="100" w:type="dxa"/>
            </w:tcMar>
            <w:vAlign w:val="center"/>
          </w:tcPr>
          <w:p w14:paraId="31ECE8FB" w14:textId="77777777" w:rsidR="00A04240" w:rsidRPr="007F4E9F" w:rsidRDefault="00A04240" w:rsidP="003B4830">
            <w:pPr>
              <w:widowControl w:val="0"/>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Se recomienda entregar en medio magnético las versiones completas de las herramientas de desarrollo y de las soluciones implementadas para el uso, administración y monitoreo a las plataformas web.</w:t>
            </w:r>
          </w:p>
        </w:tc>
        <w:tc>
          <w:tcPr>
            <w:tcW w:w="5805" w:type="dxa"/>
            <w:tcMar>
              <w:top w:w="100" w:type="dxa"/>
              <w:left w:w="100" w:type="dxa"/>
              <w:bottom w:w="100" w:type="dxa"/>
              <w:right w:w="100" w:type="dxa"/>
            </w:tcMar>
            <w:vAlign w:val="center"/>
          </w:tcPr>
          <w:p w14:paraId="68B2B880" w14:textId="77777777" w:rsidR="00A04240" w:rsidRPr="007F4E9F" w:rsidRDefault="00A04240" w:rsidP="003B4830">
            <w:pPr>
              <w:widowControl w:val="0"/>
              <w:spacing w:after="0" w:line="240" w:lineRule="auto"/>
              <w:jc w:val="both"/>
              <w:rPr>
                <w:rFonts w:ascii="Times New Roman" w:eastAsia="Times New Roman" w:hAnsi="Times New Roman" w:cs="Times New Roman"/>
                <w:b/>
                <w:bCs/>
              </w:rPr>
            </w:pPr>
            <w:r w:rsidRPr="007F4E9F">
              <w:rPr>
                <w:rFonts w:ascii="Times New Roman" w:eastAsia="Times New Roman" w:hAnsi="Times New Roman" w:cs="Times New Roman"/>
              </w:rPr>
              <w:t xml:space="preserve">Si bien se entregan los accesos y repositorios (cumplimiento formal), no se evidencia la entrega de "herramientas de monitoreo" activas que permitan gestionar la estabilidad del sitio. </w:t>
            </w:r>
          </w:p>
        </w:tc>
      </w:tr>
    </w:tbl>
    <w:p w14:paraId="66DCA28B" w14:textId="395491A1" w:rsidR="00A04240" w:rsidRPr="007F4E9F" w:rsidRDefault="00A04240" w:rsidP="00A04240"/>
    <w:p w14:paraId="7C638CE0" w14:textId="77777777" w:rsidR="00A04240" w:rsidRPr="007F4E9F" w:rsidRDefault="00A04240" w:rsidP="00A04240"/>
    <w:p w14:paraId="1425B7EA" w14:textId="77777777" w:rsidR="005E1A3F" w:rsidRPr="007F4E9F" w:rsidRDefault="005E1A3F" w:rsidP="0032235A">
      <w:pPr>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El diagnóstico de la plataforma operativa revela una deuda técnica que es muy recomendable ser subsanada antes de escalar el proyecto. En materia de seguridad y calidad de datos, se ha detectado una vulnerabilidad en la validación de formularios que permite la inyección de caracteres no sanitizados. Esto implica que la base de datos actual corre riesgo de corrupción e inconsistencia, por lo que se recomienda ejecutar un sprint de sanitización para una siguiente fase. Simultáneamente, se observa una usabilidad incompleta derivada de falsos cierres de iteración; la persistencia de errores básicos de interfaz (como enlaces rotos a redes sociales, demuestra que los flujos de usuario no fueron pulidos, recomendando una auditoría de UI/UX correctiva para reparar estilos y navegación bajo estándares con enfoque en comercios online.</w:t>
      </w:r>
    </w:p>
    <w:p w14:paraId="060D3D17" w14:textId="77777777" w:rsidR="005E1A3F" w:rsidRPr="007F4E9F" w:rsidRDefault="005E1A3F" w:rsidP="0032235A">
      <w:pPr>
        <w:spacing w:after="0" w:line="240" w:lineRule="auto"/>
        <w:jc w:val="both"/>
        <w:rPr>
          <w:rFonts w:ascii="Times New Roman" w:eastAsia="Times New Roman" w:hAnsi="Times New Roman" w:cs="Times New Roman"/>
        </w:rPr>
      </w:pPr>
    </w:p>
    <w:p w14:paraId="44ED4DDB" w14:textId="19C62A7A" w:rsidR="005E1A3F" w:rsidRPr="007F4E9F" w:rsidRDefault="005E1A3F" w:rsidP="0032235A">
      <w:pPr>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 xml:space="preserve">Desde una perspectiva funcional, el análisis confirma limitaciones severas en el modelo transaccional. Se identifica una barrera de entrada crítica, asociada a la exigencia de registro obligatorio para iniciar cualquier negociación (muro de registro), lo cual genera fricción y desincentiva la compra, alejándose de las prácticas estándar de los </w:t>
      </w:r>
      <w:r w:rsidR="003E2785" w:rsidRPr="007F4E9F">
        <w:rPr>
          <w:rFonts w:ascii="Times New Roman" w:eastAsia="Times New Roman" w:hAnsi="Times New Roman" w:cs="Times New Roman"/>
        </w:rPr>
        <w:t>Marketplace</w:t>
      </w:r>
      <w:r w:rsidRPr="007F4E9F">
        <w:rPr>
          <w:rFonts w:ascii="Times New Roman" w:eastAsia="Times New Roman" w:hAnsi="Times New Roman" w:cs="Times New Roman"/>
        </w:rPr>
        <w:t xml:space="preserve"> líderes. Adicionalmente, la plataforma opera bajo una lógica de directorio con notificaciones internas, careciendo de un motor de gestión de pedidos en tiempo real por correo o teléfono móvil. Para lograr la retención de usuarios en la siguiente etapa, la evolución tecnológica</w:t>
      </w:r>
      <w:r w:rsidRPr="007F4E9F">
        <w:rPr>
          <w:rFonts w:ascii="Times New Roman" w:eastAsia="Times New Roman" w:hAnsi="Times New Roman" w:cs="Times New Roman"/>
          <w:b/>
          <w:bCs/>
          <w:color w:val="4F81BD"/>
        </w:rPr>
        <w:t xml:space="preserve"> </w:t>
      </w:r>
      <w:r w:rsidRPr="007F4E9F">
        <w:rPr>
          <w:rFonts w:ascii="Times New Roman" w:eastAsia="Times New Roman" w:hAnsi="Times New Roman" w:cs="Times New Roman"/>
        </w:rPr>
        <w:t>se recomienda centrarse en flexibilizar el acceso (registro progresivo) y desarrollar un módulo de gestión de pedidos más dinámico, reduciendo la dependencia de la notificación interna.</w:t>
      </w:r>
    </w:p>
    <w:p w14:paraId="5ED0B4BB" w14:textId="77777777" w:rsidR="005E1A3F" w:rsidRPr="007F4E9F" w:rsidRDefault="005E1A3F" w:rsidP="0032235A">
      <w:pPr>
        <w:spacing w:after="0" w:line="240" w:lineRule="auto"/>
        <w:jc w:val="both"/>
        <w:rPr>
          <w:rFonts w:ascii="Times New Roman" w:eastAsia="Times New Roman" w:hAnsi="Times New Roman" w:cs="Times New Roman"/>
        </w:rPr>
      </w:pPr>
    </w:p>
    <w:p w14:paraId="07B2528A" w14:textId="6AD0BC0C" w:rsidR="005E1A3F" w:rsidRPr="007F4E9F" w:rsidRDefault="005E1A3F" w:rsidP="0032235A">
      <w:pPr>
        <w:spacing w:after="0" w:line="240" w:lineRule="auto"/>
        <w:jc w:val="both"/>
        <w:rPr>
          <w:rFonts w:ascii="Times New Roman" w:eastAsia="Times New Roman" w:hAnsi="Times New Roman" w:cs="Times New Roman"/>
        </w:rPr>
      </w:pPr>
      <w:r w:rsidRPr="007F4E9F">
        <w:rPr>
          <w:rFonts w:ascii="Times New Roman" w:eastAsia="Times New Roman" w:hAnsi="Times New Roman" w:cs="Times New Roman"/>
        </w:rPr>
        <w:t xml:space="preserve">Una inversión futura </w:t>
      </w:r>
      <w:r w:rsidR="00C15C3F" w:rsidRPr="007F4E9F">
        <w:rPr>
          <w:rFonts w:ascii="Times New Roman" w:eastAsia="Times New Roman" w:hAnsi="Times New Roman" w:cs="Times New Roman"/>
        </w:rPr>
        <w:t xml:space="preserve">en la plataforma </w:t>
      </w:r>
      <w:r w:rsidRPr="007F4E9F">
        <w:rPr>
          <w:rFonts w:ascii="Times New Roman" w:eastAsia="Times New Roman" w:hAnsi="Times New Roman" w:cs="Times New Roman"/>
        </w:rPr>
        <w:t xml:space="preserve">no debería orientarse a funcionalidades expansivas, sino a un Plan de Estabilización y Convergencia, priorizando la corrección de la usabilidad, la eliminación de barreras de registro y la evolución hacia un </w:t>
      </w:r>
      <w:r w:rsidR="009E5B08" w:rsidRPr="007F4E9F">
        <w:rPr>
          <w:rFonts w:ascii="Times New Roman" w:eastAsia="Times New Roman" w:hAnsi="Times New Roman" w:cs="Times New Roman"/>
        </w:rPr>
        <w:t>M</w:t>
      </w:r>
      <w:r w:rsidRPr="007F4E9F">
        <w:rPr>
          <w:rFonts w:ascii="Times New Roman" w:eastAsia="Times New Roman" w:hAnsi="Times New Roman" w:cs="Times New Roman"/>
        </w:rPr>
        <w:t>arketplace sin errores de estructura, con un UX/UI mejorado (asociado a necesidades de los comercios en línea</w:t>
      </w:r>
      <w:r w:rsidR="00C15C3F" w:rsidRPr="007F4E9F">
        <w:rPr>
          <w:rFonts w:ascii="Times New Roman" w:eastAsia="Times New Roman" w:hAnsi="Times New Roman" w:cs="Times New Roman"/>
        </w:rPr>
        <w:t xml:space="preserve"> si se define que sea transaccional</w:t>
      </w:r>
      <w:r w:rsidRPr="007F4E9F">
        <w:rPr>
          <w:rFonts w:ascii="Times New Roman" w:eastAsia="Times New Roman" w:hAnsi="Times New Roman" w:cs="Times New Roman"/>
        </w:rPr>
        <w:t>) y más dinámico en su gestión de pedidos.</w:t>
      </w:r>
    </w:p>
    <w:p w14:paraId="39DCB33B" w14:textId="62D4C032" w:rsidR="00A96AA3" w:rsidRPr="007F4E9F" w:rsidRDefault="00A96AA3" w:rsidP="0032235A">
      <w:pPr>
        <w:spacing w:after="0" w:line="240" w:lineRule="auto"/>
        <w:jc w:val="both"/>
        <w:rPr>
          <w:rFonts w:ascii="Times New Roman" w:eastAsia="Times New Roman" w:hAnsi="Times New Roman" w:cs="Times New Roman"/>
        </w:rPr>
      </w:pPr>
    </w:p>
    <w:p w14:paraId="16DE2172" w14:textId="594B7E8B" w:rsidR="00A96AA3" w:rsidRPr="007F4E9F" w:rsidRDefault="00A96AA3" w:rsidP="0032235A">
      <w:pPr>
        <w:spacing w:after="0" w:line="240" w:lineRule="auto"/>
        <w:jc w:val="both"/>
        <w:rPr>
          <w:rFonts w:ascii="Times New Roman" w:eastAsia="Times New Roman" w:hAnsi="Times New Roman" w:cs="Times New Roman"/>
        </w:rPr>
      </w:pPr>
      <w:commentRangeStart w:id="152"/>
      <w:r w:rsidRPr="007F4E9F">
        <w:rPr>
          <w:rFonts w:ascii="Times New Roman" w:eastAsia="Times New Roman" w:hAnsi="Times New Roman" w:cs="Times New Roman"/>
        </w:rPr>
        <w:t>Finalmente, las mejoras propuestas a la plataforma implican recursos económicos y personal especializado para llevar a cabo el plan de continuidad del portal web</w:t>
      </w:r>
      <w:commentRangeEnd w:id="152"/>
      <w:r w:rsidR="006734EB" w:rsidRPr="007F4E9F">
        <w:rPr>
          <w:rStyle w:val="CommentReference"/>
          <w:rFonts w:ascii="Times New Roman" w:eastAsia="Times New Roman" w:hAnsi="Times New Roman" w:cs="Times New Roman"/>
          <w:sz w:val="22"/>
          <w:szCs w:val="22"/>
        </w:rPr>
        <w:commentReference w:id="152"/>
      </w:r>
      <w:r w:rsidRPr="007F4E9F">
        <w:rPr>
          <w:rFonts w:ascii="Times New Roman" w:eastAsia="Times New Roman" w:hAnsi="Times New Roman" w:cs="Times New Roman"/>
        </w:rPr>
        <w:t xml:space="preserve">. Por lo tanto, es imperante definir si se dispone de recursos económicos y humanos para este fin o si deben gestionarse al interior de la secretaría de Ambiente de Bogotá o diseñar un convenio u otra figura vinculante entre las ciudades beneficiaras para acceder a los recursos necesarios para estas tareas. </w:t>
      </w:r>
    </w:p>
    <w:p w14:paraId="40427E13" w14:textId="77777777" w:rsidR="00FA1BC1" w:rsidRPr="007F4E9F" w:rsidRDefault="00FA1BC1" w:rsidP="0032235A">
      <w:pPr>
        <w:spacing w:after="0" w:line="240" w:lineRule="auto"/>
        <w:jc w:val="both"/>
        <w:rPr>
          <w:rFonts w:ascii="Times New Roman" w:eastAsia="Times New Roman" w:hAnsi="Times New Roman" w:cs="Times New Roman"/>
        </w:rPr>
      </w:pPr>
    </w:p>
    <w:p w14:paraId="1F999340" w14:textId="79983CDD" w:rsidR="004F4A54" w:rsidRPr="007F4E9F" w:rsidRDefault="004F4A54" w:rsidP="004F4A54">
      <w:pPr>
        <w:pStyle w:val="Heading1"/>
        <w:rPr>
          <w:rFonts w:ascii="Times New Roman" w:eastAsia="Times New Roman" w:hAnsi="Times New Roman"/>
          <w:sz w:val="22"/>
          <w:lang w:eastAsia="es-ES"/>
        </w:rPr>
      </w:pPr>
      <w:bookmarkStart w:id="153" w:name="_Toc226750243"/>
      <w:r w:rsidRPr="007F4E9F">
        <w:rPr>
          <w:rFonts w:ascii="Times New Roman" w:eastAsia="Times New Roman" w:hAnsi="Times New Roman"/>
          <w:sz w:val="22"/>
          <w:lang w:eastAsia="es-ES"/>
        </w:rPr>
        <w:t>Anexos</w:t>
      </w:r>
      <w:r w:rsidR="000632CF">
        <w:rPr>
          <w:rFonts w:ascii="Times New Roman" w:eastAsia="Times New Roman" w:hAnsi="Times New Roman"/>
          <w:sz w:val="22"/>
          <w:lang w:eastAsia="es-ES"/>
        </w:rPr>
        <w:t xml:space="preserve"> </w:t>
      </w:r>
      <w:commentRangeStart w:id="154"/>
      <w:r w:rsidR="000632CF">
        <w:rPr>
          <w:rFonts w:ascii="Times New Roman" w:eastAsia="Times New Roman" w:hAnsi="Times New Roman"/>
          <w:sz w:val="22"/>
          <w:lang w:eastAsia="es-ES"/>
        </w:rPr>
        <w:t>técnicos</w:t>
      </w:r>
      <w:bookmarkEnd w:id="153"/>
      <w:r w:rsidR="000632CF">
        <w:rPr>
          <w:rFonts w:ascii="Times New Roman" w:eastAsia="Times New Roman" w:hAnsi="Times New Roman"/>
          <w:sz w:val="22"/>
          <w:lang w:eastAsia="es-ES"/>
        </w:rPr>
        <w:t xml:space="preserve"> </w:t>
      </w:r>
      <w:commentRangeEnd w:id="154"/>
      <w:r w:rsidR="006734EB" w:rsidRPr="007F4E9F">
        <w:rPr>
          <w:rStyle w:val="CommentReference"/>
          <w:rFonts w:ascii="Times New Roman" w:eastAsia="Times New Roman" w:hAnsi="Times New Roman"/>
          <w:sz w:val="22"/>
          <w:szCs w:val="28"/>
          <w:lang w:eastAsia="es-ES"/>
        </w:rPr>
        <w:commentReference w:id="154"/>
      </w:r>
    </w:p>
    <w:p w14:paraId="61B2BB9D" w14:textId="77777777" w:rsidR="004F4A54" w:rsidRPr="007F4E9F" w:rsidRDefault="004F4A54" w:rsidP="004F4A54">
      <w:pPr>
        <w:spacing w:after="0" w:line="240" w:lineRule="auto"/>
        <w:jc w:val="both"/>
        <w:rPr>
          <w:rFonts w:ascii="Times New Roman" w:eastAsia="Times New Roman" w:hAnsi="Times New Roman" w:cs="Times New Roman"/>
          <w:b/>
          <w:bCs/>
          <w:color w:val="000000" w:themeColor="text1"/>
          <w:lang w:eastAsia="es-ES"/>
        </w:rPr>
      </w:pPr>
    </w:p>
    <w:p w14:paraId="20D46D2C" w14:textId="77777777" w:rsidR="004F4A54" w:rsidRPr="007F4E9F" w:rsidRDefault="004F4A54" w:rsidP="004F4A54">
      <w:pPr>
        <w:spacing w:after="160" w:line="259" w:lineRule="auto"/>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b/>
          <w:bCs/>
          <w:color w:val="000000" w:themeColor="text1"/>
          <w:lang w:eastAsia="es-ES"/>
        </w:rPr>
        <w:t xml:space="preserve">Anexo 1. </w:t>
      </w:r>
      <w:r w:rsidRPr="007F4E9F">
        <w:rPr>
          <w:rFonts w:ascii="Times New Roman" w:eastAsia="Times New Roman" w:hAnsi="Times New Roman" w:cs="Times New Roman"/>
          <w:color w:val="000000" w:themeColor="text1"/>
          <w:lang w:eastAsia="es-ES"/>
        </w:rPr>
        <w:t>No continuidad del Componente 3</w:t>
      </w:r>
    </w:p>
    <w:p w14:paraId="106D037C" w14:textId="77777777" w:rsidR="004F4A54" w:rsidRPr="007F4E9F" w:rsidRDefault="004F4A54" w:rsidP="004F4A54">
      <w:pPr>
        <w:spacing w:after="160" w:line="259" w:lineRule="auto"/>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b/>
          <w:bCs/>
          <w:color w:val="000000" w:themeColor="text1"/>
          <w:lang w:eastAsia="es-ES"/>
        </w:rPr>
        <w:t xml:space="preserve">Anexo 2. </w:t>
      </w:r>
      <w:r w:rsidRPr="007F4E9F">
        <w:rPr>
          <w:rFonts w:ascii="Times New Roman" w:eastAsia="Times New Roman" w:hAnsi="Times New Roman" w:cs="Times New Roman"/>
          <w:color w:val="000000" w:themeColor="text1"/>
          <w:lang w:eastAsia="es-ES"/>
        </w:rPr>
        <w:t>Grupo focal comité directivo</w:t>
      </w:r>
    </w:p>
    <w:p w14:paraId="412B5F00" w14:textId="77777777" w:rsidR="004F4A54" w:rsidRPr="007F4E9F" w:rsidRDefault="004F4A54" w:rsidP="004F4A54">
      <w:pPr>
        <w:spacing w:after="160" w:line="259" w:lineRule="auto"/>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b/>
          <w:bCs/>
          <w:color w:val="000000" w:themeColor="text1"/>
          <w:lang w:eastAsia="es-ES"/>
        </w:rPr>
        <w:t xml:space="preserve">Anexo 3. </w:t>
      </w:r>
      <w:r w:rsidRPr="007F4E9F">
        <w:rPr>
          <w:rFonts w:ascii="Times New Roman" w:eastAsia="Times New Roman" w:hAnsi="Times New Roman" w:cs="Times New Roman"/>
          <w:color w:val="000000" w:themeColor="text1"/>
          <w:lang w:eastAsia="es-ES"/>
        </w:rPr>
        <w:t>Encuesta formulario empresas emprendedoras usuarios</w:t>
      </w:r>
    </w:p>
    <w:p w14:paraId="37E84A42" w14:textId="77777777" w:rsidR="004F4A54" w:rsidRPr="007F4E9F" w:rsidRDefault="004F4A54" w:rsidP="004F4A54">
      <w:pPr>
        <w:spacing w:after="160" w:line="259" w:lineRule="auto"/>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b/>
          <w:bCs/>
          <w:color w:val="000000" w:themeColor="text1"/>
          <w:lang w:eastAsia="es-ES"/>
        </w:rPr>
        <w:t>Anexo 4.</w:t>
      </w:r>
      <w:r w:rsidRPr="007F4E9F">
        <w:rPr>
          <w:rFonts w:ascii="Times New Roman" w:eastAsia="Times New Roman" w:hAnsi="Times New Roman" w:cs="Times New Roman"/>
          <w:color w:val="000000" w:themeColor="text1"/>
          <w:lang w:eastAsia="es-ES"/>
        </w:rPr>
        <w:t xml:space="preserve"> Matriz de evaluación</w:t>
      </w:r>
    </w:p>
    <w:p w14:paraId="657595D9" w14:textId="77777777" w:rsidR="004F4A54" w:rsidRPr="007F4E9F" w:rsidRDefault="004F4A54" w:rsidP="004F4A54">
      <w:pPr>
        <w:spacing w:after="160" w:line="259" w:lineRule="auto"/>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b/>
          <w:bCs/>
          <w:color w:val="000000" w:themeColor="text1"/>
          <w:lang w:eastAsia="es-ES"/>
        </w:rPr>
        <w:t>Anexo 5</w:t>
      </w:r>
      <w:r w:rsidRPr="007F4E9F">
        <w:rPr>
          <w:rFonts w:ascii="Times New Roman" w:eastAsia="Times New Roman" w:hAnsi="Times New Roman" w:cs="Times New Roman"/>
          <w:color w:val="000000" w:themeColor="text1"/>
          <w:lang w:eastAsia="es-ES"/>
        </w:rPr>
        <w:t>. Estrategia metodológica de la evaluación</w:t>
      </w:r>
    </w:p>
    <w:p w14:paraId="6B0297CC" w14:textId="77777777" w:rsidR="004F4A54" w:rsidRPr="007F4E9F" w:rsidRDefault="004F4A54" w:rsidP="004F4A54">
      <w:pPr>
        <w:spacing w:after="160" w:line="259" w:lineRule="auto"/>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b/>
          <w:bCs/>
          <w:color w:val="000000" w:themeColor="text1"/>
          <w:lang w:eastAsia="es-ES"/>
        </w:rPr>
        <w:t>Anexo 6.</w:t>
      </w:r>
      <w:r w:rsidRPr="007F4E9F">
        <w:rPr>
          <w:rFonts w:ascii="Times New Roman" w:eastAsia="Times New Roman" w:hAnsi="Times New Roman" w:cs="Times New Roman"/>
          <w:color w:val="000000" w:themeColor="text1"/>
          <w:lang w:eastAsia="es-ES"/>
        </w:rPr>
        <w:t xml:space="preserve"> Análisis de Criterios de Inspección Heurística</w:t>
      </w:r>
    </w:p>
    <w:p w14:paraId="408BA2F0" w14:textId="19FF6BA4" w:rsidR="004F4A54" w:rsidRPr="007F4E9F" w:rsidRDefault="004F4A54" w:rsidP="004F4A54">
      <w:pPr>
        <w:spacing w:after="160" w:line="259" w:lineRule="auto"/>
        <w:rPr>
          <w:rFonts w:ascii="Times New Roman" w:eastAsia="Times New Roman" w:hAnsi="Times New Roman" w:cs="Times New Roman"/>
          <w:color w:val="000000" w:themeColor="text1"/>
          <w:lang w:eastAsia="es-ES"/>
        </w:rPr>
      </w:pPr>
      <w:r w:rsidRPr="007F4E9F">
        <w:rPr>
          <w:rFonts w:ascii="Times New Roman" w:eastAsia="Times New Roman" w:hAnsi="Times New Roman" w:cs="Times New Roman"/>
          <w:b/>
          <w:bCs/>
          <w:color w:val="000000" w:themeColor="text1"/>
          <w:lang w:eastAsia="es-ES"/>
        </w:rPr>
        <w:t>Anexo 7</w:t>
      </w:r>
      <w:r w:rsidRPr="007F4E9F">
        <w:rPr>
          <w:rFonts w:ascii="Times New Roman" w:eastAsia="Times New Roman" w:hAnsi="Times New Roman" w:cs="Times New Roman"/>
          <w:color w:val="000000" w:themeColor="text1"/>
          <w:lang w:eastAsia="es-ES"/>
        </w:rPr>
        <w:t>. Encuesta Usuarios Directos Datos Limpios</w:t>
      </w:r>
    </w:p>
    <w:p w14:paraId="5B42F1C7" w14:textId="77777777" w:rsidR="004F4A54" w:rsidRPr="007F4E9F" w:rsidRDefault="004F4A54" w:rsidP="004F4A54">
      <w:pPr>
        <w:pStyle w:val="Heading1"/>
        <w:rPr>
          <w:rFonts w:ascii="Times New Roman" w:eastAsia="Times New Roman" w:hAnsi="Times New Roman"/>
          <w:sz w:val="22"/>
          <w:lang w:eastAsia="es-ES"/>
        </w:rPr>
      </w:pPr>
      <w:bookmarkStart w:id="155" w:name="_Toc225500093"/>
      <w:bookmarkStart w:id="156" w:name="_Toc226750244"/>
      <w:bookmarkStart w:id="157" w:name="_Hlk225833904"/>
      <w:commentRangeStart w:id="158"/>
      <w:commentRangeStart w:id="159"/>
      <w:r w:rsidRPr="007F4E9F">
        <w:rPr>
          <w:rFonts w:ascii="Times New Roman" w:eastAsia="Times New Roman" w:hAnsi="Times New Roman"/>
          <w:sz w:val="22"/>
          <w:lang w:eastAsia="es-ES"/>
        </w:rPr>
        <w:t>Referencias</w:t>
      </w:r>
      <w:bookmarkEnd w:id="155"/>
      <w:bookmarkEnd w:id="156"/>
      <w:r w:rsidRPr="007F4E9F">
        <w:rPr>
          <w:rFonts w:ascii="Times New Roman" w:eastAsia="Times New Roman" w:hAnsi="Times New Roman"/>
          <w:sz w:val="22"/>
          <w:lang w:eastAsia="es-ES"/>
        </w:rPr>
        <w:t xml:space="preserve">  </w:t>
      </w:r>
      <w:commentRangeEnd w:id="158"/>
      <w:r w:rsidR="006734EB" w:rsidRPr="007F4E9F">
        <w:rPr>
          <w:rStyle w:val="CommentReference"/>
          <w:rFonts w:ascii="Times New Roman" w:eastAsia="Times New Roman" w:hAnsi="Times New Roman"/>
          <w:sz w:val="22"/>
          <w:szCs w:val="28"/>
          <w:lang w:eastAsia="es-ES"/>
        </w:rPr>
        <w:commentReference w:id="158"/>
      </w:r>
      <w:commentRangeEnd w:id="159"/>
      <w:r w:rsidR="009D00D4" w:rsidRPr="007F4E9F">
        <w:rPr>
          <w:rStyle w:val="CommentReference"/>
          <w:rFonts w:ascii="Times New Roman" w:eastAsia="Times New Roman" w:hAnsi="Times New Roman"/>
          <w:sz w:val="22"/>
          <w:szCs w:val="28"/>
          <w:lang w:eastAsia="es-ES"/>
        </w:rPr>
        <w:commentReference w:id="159"/>
      </w:r>
    </w:p>
    <w:p w14:paraId="32423BC1" w14:textId="77777777" w:rsidR="004F4A54" w:rsidRPr="007F4E9F" w:rsidRDefault="004F4A54" w:rsidP="004F4A54">
      <w:pPr>
        <w:spacing w:after="0" w:line="240" w:lineRule="auto"/>
        <w:jc w:val="both"/>
        <w:rPr>
          <w:rFonts w:ascii="Times New Roman" w:eastAsia="Times New Roman" w:hAnsi="Times New Roman" w:cs="Times New Roman"/>
          <w:b/>
          <w:bCs/>
          <w:color w:val="000000" w:themeColor="text1"/>
          <w:lang w:eastAsia="es-ES"/>
        </w:rPr>
      </w:pPr>
    </w:p>
    <w:bookmarkEnd w:id="157"/>
    <w:p w14:paraId="280249D0" w14:textId="77777777" w:rsidR="00FA1BC1" w:rsidRPr="007F4E9F" w:rsidRDefault="00FA1BC1" w:rsidP="00FA1BC1">
      <w:pPr>
        <w:pStyle w:val="NormalWeb"/>
        <w:rPr>
          <w:sz w:val="22"/>
          <w:szCs w:val="22"/>
        </w:rPr>
      </w:pPr>
      <w:r w:rsidRPr="00FC1E96">
        <w:rPr>
          <w:sz w:val="22"/>
          <w:szCs w:val="22"/>
          <w:lang w:val="en-US"/>
        </w:rPr>
        <w:t xml:space="preserve">ADA Shared Services Solutions. (2023a). </w:t>
      </w:r>
      <w:r w:rsidRPr="007F4E9F">
        <w:rPr>
          <w:sz w:val="22"/>
          <w:szCs w:val="22"/>
        </w:rPr>
        <w:t>Análisis y caracterización de los sectores económicos para la ciudad de Bogotá, Colombia.</w:t>
      </w:r>
    </w:p>
    <w:p w14:paraId="7AD671F9" w14:textId="77777777" w:rsidR="00FA1BC1" w:rsidRPr="007F4E9F" w:rsidRDefault="00FA1BC1" w:rsidP="00FA1BC1">
      <w:pPr>
        <w:pStyle w:val="NormalWeb"/>
        <w:rPr>
          <w:sz w:val="22"/>
          <w:szCs w:val="22"/>
        </w:rPr>
      </w:pPr>
      <w:r w:rsidRPr="00FC1E96">
        <w:rPr>
          <w:sz w:val="22"/>
          <w:szCs w:val="22"/>
          <w:lang w:val="en-US"/>
        </w:rPr>
        <w:t xml:space="preserve">ADA Shared Services Solutions. (2023b). </w:t>
      </w:r>
      <w:r w:rsidRPr="007F4E9F">
        <w:rPr>
          <w:sz w:val="22"/>
          <w:szCs w:val="22"/>
        </w:rPr>
        <w:t>Análisis y caracterización de los sectores económicos para la ciudad de Lima, Perú.</w:t>
      </w:r>
    </w:p>
    <w:p w14:paraId="0FDF4D41" w14:textId="77777777" w:rsidR="00FA1BC1" w:rsidRPr="007F4E9F" w:rsidRDefault="00FA1BC1" w:rsidP="00FA1BC1">
      <w:pPr>
        <w:pStyle w:val="NormalWeb"/>
        <w:rPr>
          <w:sz w:val="22"/>
          <w:szCs w:val="22"/>
        </w:rPr>
      </w:pPr>
      <w:r w:rsidRPr="00FC1E96">
        <w:rPr>
          <w:sz w:val="22"/>
          <w:szCs w:val="22"/>
          <w:lang w:val="en-US"/>
        </w:rPr>
        <w:t xml:space="preserve">ADA Shared Services Solutions. (2023c). </w:t>
      </w:r>
      <w:r w:rsidRPr="007F4E9F">
        <w:rPr>
          <w:sz w:val="22"/>
          <w:szCs w:val="22"/>
        </w:rPr>
        <w:t>Análisis y caracterización de los sectores económicos para la ciudad de Quito, Ecuador.</w:t>
      </w:r>
    </w:p>
    <w:p w14:paraId="04A36A65" w14:textId="77777777" w:rsidR="00FA1BC1" w:rsidRPr="007F4E9F" w:rsidRDefault="00FA1BC1" w:rsidP="00FA1BC1">
      <w:pPr>
        <w:pStyle w:val="NormalWeb"/>
        <w:rPr>
          <w:sz w:val="22"/>
          <w:szCs w:val="22"/>
        </w:rPr>
      </w:pPr>
      <w:r w:rsidRPr="00FC1E96">
        <w:rPr>
          <w:sz w:val="22"/>
          <w:szCs w:val="22"/>
          <w:lang w:val="en-US"/>
        </w:rPr>
        <w:t xml:space="preserve">ADA Shared Services Solutions. (2023d). </w:t>
      </w:r>
      <w:r w:rsidRPr="007F4E9F">
        <w:rPr>
          <w:sz w:val="22"/>
          <w:szCs w:val="22"/>
        </w:rPr>
        <w:t>Análisis y caracterización de los sectores económicos para la ciudad de Santiago de Chile.</w:t>
      </w:r>
    </w:p>
    <w:p w14:paraId="0C354583" w14:textId="77777777" w:rsidR="00FA1BC1" w:rsidRPr="007F4E9F" w:rsidRDefault="00FA1BC1" w:rsidP="00FA1BC1">
      <w:pPr>
        <w:pStyle w:val="NormalWeb"/>
        <w:rPr>
          <w:sz w:val="22"/>
          <w:szCs w:val="22"/>
        </w:rPr>
      </w:pPr>
      <w:r w:rsidRPr="00FC1E96">
        <w:rPr>
          <w:sz w:val="22"/>
          <w:szCs w:val="22"/>
          <w:lang w:val="en-US"/>
        </w:rPr>
        <w:t xml:space="preserve">ADA Shared Services Solutions. (2024a). </w:t>
      </w:r>
      <w:r w:rsidRPr="007F4E9F">
        <w:rPr>
          <w:sz w:val="22"/>
          <w:szCs w:val="22"/>
        </w:rPr>
        <w:t>Caracterización técnica, normativa, política y de mercado en tres sectores priorizados para Bogotá D.C., Colombia.</w:t>
      </w:r>
    </w:p>
    <w:p w14:paraId="72B87B7E" w14:textId="77777777" w:rsidR="00FA1BC1" w:rsidRPr="007F4E9F" w:rsidRDefault="00FA1BC1" w:rsidP="00FA1BC1">
      <w:pPr>
        <w:pStyle w:val="NormalWeb"/>
        <w:rPr>
          <w:sz w:val="22"/>
          <w:szCs w:val="22"/>
        </w:rPr>
      </w:pPr>
      <w:r w:rsidRPr="00FC1E96">
        <w:rPr>
          <w:sz w:val="22"/>
          <w:szCs w:val="22"/>
          <w:lang w:val="en-US"/>
        </w:rPr>
        <w:t xml:space="preserve">ADA Shared Services Solutions. (2024b). </w:t>
      </w:r>
      <w:r w:rsidRPr="007F4E9F">
        <w:rPr>
          <w:sz w:val="22"/>
          <w:szCs w:val="22"/>
        </w:rPr>
        <w:t>Caracterización técnica, normativa, política y de mercado en tres sectores priorizados para Lima, Perú.</w:t>
      </w:r>
    </w:p>
    <w:p w14:paraId="2A6686DD" w14:textId="77777777" w:rsidR="00FA1BC1" w:rsidRPr="007F4E9F" w:rsidRDefault="00FA1BC1" w:rsidP="00FA1BC1">
      <w:pPr>
        <w:pStyle w:val="NormalWeb"/>
        <w:rPr>
          <w:sz w:val="22"/>
          <w:szCs w:val="22"/>
        </w:rPr>
      </w:pPr>
      <w:r w:rsidRPr="00FC1E96">
        <w:rPr>
          <w:sz w:val="22"/>
          <w:szCs w:val="22"/>
          <w:lang w:val="en-US"/>
        </w:rPr>
        <w:t xml:space="preserve">ADA Shared Services Solutions. (2024c). </w:t>
      </w:r>
      <w:r w:rsidRPr="007F4E9F">
        <w:rPr>
          <w:sz w:val="22"/>
          <w:szCs w:val="22"/>
        </w:rPr>
        <w:t>Caracterización técnica, normativa, política y de mercado en tres sectores priorizados para Quito, Ecuador.</w:t>
      </w:r>
    </w:p>
    <w:p w14:paraId="3A5089F4" w14:textId="77777777" w:rsidR="00FA1BC1" w:rsidRPr="007F4E9F" w:rsidRDefault="00FA1BC1" w:rsidP="00FA1BC1">
      <w:pPr>
        <w:pStyle w:val="NormalWeb"/>
        <w:rPr>
          <w:sz w:val="22"/>
          <w:szCs w:val="22"/>
        </w:rPr>
      </w:pPr>
      <w:r w:rsidRPr="00FC1E96">
        <w:rPr>
          <w:sz w:val="22"/>
          <w:szCs w:val="22"/>
          <w:lang w:val="en-US"/>
        </w:rPr>
        <w:t xml:space="preserve">ADA Shared Services Solutions. (2024d). </w:t>
      </w:r>
      <w:r w:rsidRPr="007F4E9F">
        <w:rPr>
          <w:sz w:val="22"/>
          <w:szCs w:val="22"/>
        </w:rPr>
        <w:t>Caracterización técnica, normativa, política y de mercado en tres sectores priorizados para Santiago de Chile.</w:t>
      </w:r>
    </w:p>
    <w:p w14:paraId="3EC91BEC" w14:textId="77777777" w:rsidR="00FA1BC1" w:rsidRPr="007F4E9F" w:rsidRDefault="00FA1BC1" w:rsidP="00FA1BC1">
      <w:pPr>
        <w:pStyle w:val="NormalWeb"/>
        <w:rPr>
          <w:sz w:val="22"/>
          <w:szCs w:val="22"/>
        </w:rPr>
      </w:pPr>
      <w:r w:rsidRPr="00FC1E96">
        <w:rPr>
          <w:sz w:val="22"/>
          <w:szCs w:val="22"/>
          <w:lang w:val="en-US"/>
        </w:rPr>
        <w:t xml:space="preserve">ADA Shared Services Solutions. (2024e). </w:t>
      </w:r>
      <w:r w:rsidRPr="007F4E9F">
        <w:rPr>
          <w:sz w:val="22"/>
          <w:szCs w:val="22"/>
        </w:rPr>
        <w:t>Construcción de ficha técnica de indicadores para la plataforma Marketplace de economía circular.</w:t>
      </w:r>
    </w:p>
    <w:p w14:paraId="4441151C" w14:textId="77777777" w:rsidR="00FA1BC1" w:rsidRPr="007F4E9F" w:rsidRDefault="00FA1BC1" w:rsidP="00FA1BC1">
      <w:pPr>
        <w:pStyle w:val="NormalWeb"/>
        <w:rPr>
          <w:sz w:val="22"/>
          <w:szCs w:val="22"/>
        </w:rPr>
      </w:pPr>
      <w:r w:rsidRPr="00FC1E96">
        <w:rPr>
          <w:sz w:val="22"/>
          <w:szCs w:val="22"/>
          <w:lang w:val="en-US"/>
        </w:rPr>
        <w:t xml:space="preserve">ADA Shared Services Solutions. (2024f). </w:t>
      </w:r>
      <w:r w:rsidRPr="007F4E9F">
        <w:rPr>
          <w:sz w:val="22"/>
          <w:szCs w:val="22"/>
        </w:rPr>
        <w:t>Desarrollo (programación web, instalación de funciones a la medida y cargue de contenido).</w:t>
      </w:r>
    </w:p>
    <w:p w14:paraId="0FD3ADFD" w14:textId="77777777" w:rsidR="00FA1BC1" w:rsidRPr="007F4E9F" w:rsidRDefault="00FA1BC1" w:rsidP="00FA1BC1">
      <w:pPr>
        <w:pStyle w:val="NormalWeb"/>
        <w:rPr>
          <w:sz w:val="22"/>
          <w:szCs w:val="22"/>
        </w:rPr>
      </w:pPr>
      <w:r w:rsidRPr="00FC1E96">
        <w:rPr>
          <w:sz w:val="22"/>
          <w:szCs w:val="22"/>
          <w:lang w:val="en-US"/>
        </w:rPr>
        <w:t xml:space="preserve">ADA Shared Services Solutions. (2024g). </w:t>
      </w:r>
      <w:r w:rsidRPr="007F4E9F">
        <w:rPr>
          <w:sz w:val="22"/>
          <w:szCs w:val="22"/>
        </w:rPr>
        <w:t>Evento de socialización de la plataforma Marketplace.</w:t>
      </w:r>
    </w:p>
    <w:p w14:paraId="46C67C15" w14:textId="77777777" w:rsidR="00FA1BC1" w:rsidRPr="007F4E9F" w:rsidRDefault="00FA1BC1" w:rsidP="00FA1BC1">
      <w:pPr>
        <w:pStyle w:val="NormalWeb"/>
        <w:rPr>
          <w:sz w:val="22"/>
          <w:szCs w:val="22"/>
        </w:rPr>
      </w:pPr>
      <w:r w:rsidRPr="00FC1E96">
        <w:rPr>
          <w:sz w:val="22"/>
          <w:szCs w:val="22"/>
          <w:lang w:val="en-US"/>
        </w:rPr>
        <w:t xml:space="preserve">ADA Shared Services Solutions. (2024h). </w:t>
      </w:r>
      <w:r w:rsidRPr="007F4E9F">
        <w:rPr>
          <w:sz w:val="22"/>
          <w:szCs w:val="22"/>
        </w:rPr>
        <w:t>Identificación de empresas, emprendimientos y actividades oferentes y demandantes para la plataforma Marketplace.</w:t>
      </w:r>
    </w:p>
    <w:p w14:paraId="4792FBCF" w14:textId="77777777" w:rsidR="00FA1BC1" w:rsidRPr="007F4E9F" w:rsidRDefault="00FA1BC1" w:rsidP="00FA1BC1">
      <w:pPr>
        <w:pStyle w:val="NormalWeb"/>
        <w:rPr>
          <w:sz w:val="22"/>
          <w:szCs w:val="22"/>
        </w:rPr>
      </w:pPr>
      <w:r w:rsidRPr="00FC1E96">
        <w:rPr>
          <w:sz w:val="22"/>
          <w:szCs w:val="22"/>
          <w:lang w:val="en-US"/>
        </w:rPr>
        <w:t xml:space="preserve">ADA Shared Services Solutions. (2024i). </w:t>
      </w:r>
      <w:r w:rsidRPr="007F4E9F">
        <w:rPr>
          <w:sz w:val="22"/>
          <w:szCs w:val="22"/>
        </w:rPr>
        <w:t>Instalación e implementación de la plataforma de gestión de contenidos y configuración de librerías, plug-ins, módulos y componentes.</w:t>
      </w:r>
    </w:p>
    <w:p w14:paraId="6CD3074B" w14:textId="77777777" w:rsidR="00FA1BC1" w:rsidRPr="007F4E9F" w:rsidRDefault="00FA1BC1" w:rsidP="00FA1BC1">
      <w:pPr>
        <w:pStyle w:val="NormalWeb"/>
        <w:rPr>
          <w:sz w:val="22"/>
          <w:szCs w:val="22"/>
        </w:rPr>
      </w:pPr>
      <w:r w:rsidRPr="00FC1E96">
        <w:rPr>
          <w:sz w:val="22"/>
          <w:szCs w:val="22"/>
          <w:lang w:val="en-US"/>
        </w:rPr>
        <w:t xml:space="preserve">ADA Shared Services Solutions. (2024j). </w:t>
      </w:r>
      <w:r w:rsidRPr="007F4E9F">
        <w:rPr>
          <w:sz w:val="22"/>
          <w:szCs w:val="22"/>
        </w:rPr>
        <w:t>Instrucciones para el cargue de la información de los indicadores en la plataforma web.</w:t>
      </w:r>
    </w:p>
    <w:p w14:paraId="76CBB2F1" w14:textId="77777777" w:rsidR="00FA1BC1" w:rsidRPr="007F4E9F" w:rsidRDefault="00FA1BC1" w:rsidP="00FA1BC1">
      <w:pPr>
        <w:pStyle w:val="NormalWeb"/>
        <w:rPr>
          <w:sz w:val="22"/>
          <w:szCs w:val="22"/>
        </w:rPr>
      </w:pPr>
      <w:r w:rsidRPr="00FC1E96">
        <w:rPr>
          <w:sz w:val="22"/>
          <w:szCs w:val="22"/>
          <w:lang w:val="en-US"/>
        </w:rPr>
        <w:t xml:space="preserve">ADA Shared Services Solutions. (2024k). </w:t>
      </w:r>
      <w:r w:rsidRPr="007F4E9F">
        <w:rPr>
          <w:sz w:val="22"/>
          <w:szCs w:val="22"/>
        </w:rPr>
        <w:t>Mantenimiento, actualizaciones de la plataforma, soporte y administración del portal web por un año.</w:t>
      </w:r>
    </w:p>
    <w:p w14:paraId="7F9CBA90" w14:textId="77777777" w:rsidR="00FA1BC1" w:rsidRPr="007F4E9F" w:rsidRDefault="00FA1BC1" w:rsidP="00FA1BC1">
      <w:pPr>
        <w:pStyle w:val="NormalWeb"/>
        <w:rPr>
          <w:sz w:val="22"/>
          <w:szCs w:val="22"/>
        </w:rPr>
      </w:pPr>
      <w:r w:rsidRPr="00FC1E96">
        <w:rPr>
          <w:sz w:val="22"/>
          <w:szCs w:val="22"/>
          <w:lang w:val="en-US"/>
        </w:rPr>
        <w:t xml:space="preserve">ADA Shared Services Solutions. (2024l). </w:t>
      </w:r>
      <w:r w:rsidRPr="007F4E9F">
        <w:rPr>
          <w:sz w:val="22"/>
          <w:szCs w:val="22"/>
        </w:rPr>
        <w:t>Mapa del sitio, propuesta de identidad visual e instalación, configuración y entrega del certificado SSL.</w:t>
      </w:r>
    </w:p>
    <w:p w14:paraId="3AAE1F9F" w14:textId="77777777" w:rsidR="00FA1BC1" w:rsidRPr="007F4E9F" w:rsidRDefault="00FA1BC1" w:rsidP="00FA1BC1">
      <w:pPr>
        <w:pStyle w:val="NormalWeb"/>
        <w:rPr>
          <w:sz w:val="22"/>
          <w:szCs w:val="22"/>
        </w:rPr>
      </w:pPr>
      <w:r w:rsidRPr="00FC1E96">
        <w:rPr>
          <w:sz w:val="22"/>
          <w:szCs w:val="22"/>
          <w:lang w:val="en-US"/>
        </w:rPr>
        <w:t xml:space="preserve">ADA Shared Services Solutions. (2024m). </w:t>
      </w:r>
      <w:r w:rsidRPr="007F4E9F">
        <w:rPr>
          <w:sz w:val="22"/>
          <w:szCs w:val="22"/>
        </w:rPr>
        <w:t>Metodología de criterios de selección de indicadores para el seguimiento de la plataforma marketplace de economía circular.</w:t>
      </w:r>
    </w:p>
    <w:p w14:paraId="44FFF399" w14:textId="77777777" w:rsidR="00FA1BC1" w:rsidRPr="007F4E9F" w:rsidRDefault="00FA1BC1" w:rsidP="00FA1BC1">
      <w:pPr>
        <w:pStyle w:val="NormalWeb"/>
        <w:rPr>
          <w:sz w:val="22"/>
          <w:szCs w:val="22"/>
        </w:rPr>
      </w:pPr>
      <w:r w:rsidRPr="007F4E9F">
        <w:rPr>
          <w:sz w:val="22"/>
          <w:szCs w:val="22"/>
        </w:rPr>
        <w:t>ADA Shared Services Solutions. (2025). Documento de propuesta de indicadores para el seguimiento de la plataforma marketplace de economía circular.</w:t>
      </w:r>
    </w:p>
    <w:p w14:paraId="2A311072" w14:textId="77777777" w:rsidR="00FA1BC1" w:rsidRPr="00FC1E96" w:rsidRDefault="00FA1BC1" w:rsidP="00FA1BC1">
      <w:pPr>
        <w:pStyle w:val="NormalWeb"/>
        <w:rPr>
          <w:sz w:val="22"/>
          <w:szCs w:val="22"/>
          <w:lang w:val="en-US"/>
        </w:rPr>
      </w:pPr>
      <w:r w:rsidRPr="00FC1E96">
        <w:rPr>
          <w:sz w:val="22"/>
          <w:szCs w:val="22"/>
          <w:lang w:val="en-US"/>
        </w:rPr>
        <w:t>Ellen MacArthur Foundation. (2020). The circular economy: A transformative Covid-19 recovery strategy.</w:t>
      </w:r>
    </w:p>
    <w:p w14:paraId="3750B36A" w14:textId="77777777" w:rsidR="00FA1BC1" w:rsidRPr="00FC1E96" w:rsidRDefault="00FA1BC1" w:rsidP="00FA1BC1">
      <w:pPr>
        <w:pStyle w:val="NormalWeb"/>
        <w:rPr>
          <w:sz w:val="22"/>
          <w:szCs w:val="22"/>
          <w:lang w:val="en-US"/>
        </w:rPr>
      </w:pPr>
      <w:r w:rsidRPr="00FC1E96">
        <w:rPr>
          <w:sz w:val="22"/>
          <w:szCs w:val="22"/>
          <w:lang w:val="en-US"/>
        </w:rPr>
        <w:t>Ellen MacArthur Foundation. (2022). Chile’s circular economy roadmap: Collaboration for a shared action plan.</w:t>
      </w:r>
    </w:p>
    <w:p w14:paraId="2DFFC6B8" w14:textId="77777777" w:rsidR="00FA1BC1" w:rsidRPr="00FC1E96" w:rsidRDefault="00FA1BC1" w:rsidP="00FA1BC1">
      <w:pPr>
        <w:pStyle w:val="NormalWeb"/>
        <w:rPr>
          <w:sz w:val="22"/>
          <w:szCs w:val="22"/>
          <w:lang w:val="en-US"/>
        </w:rPr>
      </w:pPr>
      <w:r w:rsidRPr="00FC1E96">
        <w:rPr>
          <w:sz w:val="22"/>
          <w:szCs w:val="22"/>
          <w:lang w:val="en-US"/>
        </w:rPr>
        <w:t>Ellen MacArthur Foundation, &amp; United Nations Environment Programme. (2023). The global commitment five years in.</w:t>
      </w:r>
    </w:p>
    <w:p w14:paraId="4877592F" w14:textId="77777777" w:rsidR="00FA1BC1" w:rsidRPr="00FC1E96" w:rsidRDefault="00FA1BC1" w:rsidP="00FA1BC1">
      <w:pPr>
        <w:pStyle w:val="NormalWeb"/>
        <w:rPr>
          <w:sz w:val="22"/>
          <w:szCs w:val="22"/>
          <w:lang w:val="en-US"/>
        </w:rPr>
      </w:pPr>
      <w:r w:rsidRPr="00FC1E96">
        <w:rPr>
          <w:sz w:val="22"/>
          <w:szCs w:val="22"/>
          <w:lang w:val="en-US"/>
        </w:rPr>
        <w:t>European Commission. (</w:t>
      </w:r>
      <w:commentRangeStart w:id="160"/>
      <w:r w:rsidRPr="00FC1E96">
        <w:rPr>
          <w:sz w:val="22"/>
          <w:szCs w:val="22"/>
          <w:lang w:val="en-US"/>
        </w:rPr>
        <w:t>2020</w:t>
      </w:r>
      <w:commentRangeEnd w:id="160"/>
      <w:r w:rsidR="009D00D4" w:rsidRPr="00FC1E96">
        <w:rPr>
          <w:rStyle w:val="CommentReference"/>
          <w:sz w:val="22"/>
          <w:szCs w:val="22"/>
          <w:lang w:val="en-US"/>
        </w:rPr>
        <w:commentReference w:id="160"/>
      </w:r>
      <w:r w:rsidRPr="00FC1E96">
        <w:rPr>
          <w:sz w:val="22"/>
          <w:szCs w:val="22"/>
          <w:lang w:val="en-US"/>
        </w:rPr>
        <w:t>). A new circular economy action plan for a cleaner and more competitive Europe.</w:t>
      </w:r>
    </w:p>
    <w:p w14:paraId="25A53FD6" w14:textId="77777777" w:rsidR="00FA1BC1" w:rsidRPr="007F4E9F" w:rsidRDefault="00FA1BC1" w:rsidP="00FA1BC1">
      <w:pPr>
        <w:pStyle w:val="NormalWeb"/>
        <w:rPr>
          <w:sz w:val="22"/>
          <w:szCs w:val="22"/>
        </w:rPr>
      </w:pPr>
      <w:r w:rsidRPr="007F4E9F">
        <w:rPr>
          <w:sz w:val="22"/>
          <w:szCs w:val="22"/>
        </w:rPr>
        <w:t>ICLEI, &amp; ACODAL. (2025a). Diagnóstico y propuesta de fortalecimiento normativo.</w:t>
      </w:r>
    </w:p>
    <w:p w14:paraId="4F8EAD76" w14:textId="77777777" w:rsidR="00FA1BC1" w:rsidRPr="007F4E9F" w:rsidRDefault="00FA1BC1" w:rsidP="00FA1BC1">
      <w:pPr>
        <w:pStyle w:val="NormalWeb"/>
        <w:rPr>
          <w:sz w:val="22"/>
          <w:szCs w:val="22"/>
        </w:rPr>
      </w:pPr>
      <w:r w:rsidRPr="007F4E9F">
        <w:rPr>
          <w:sz w:val="22"/>
          <w:szCs w:val="22"/>
        </w:rPr>
        <w:t>ICLEI, &amp; ACODAL. (2025b). Informe de validación participativa.</w:t>
      </w:r>
    </w:p>
    <w:p w14:paraId="2FA174F7" w14:textId="77777777" w:rsidR="00FA1BC1" w:rsidRPr="007F4E9F" w:rsidRDefault="00FA1BC1" w:rsidP="00FA1BC1">
      <w:pPr>
        <w:pStyle w:val="NormalWeb"/>
        <w:rPr>
          <w:sz w:val="22"/>
          <w:szCs w:val="22"/>
        </w:rPr>
      </w:pPr>
      <w:r w:rsidRPr="007F4E9F">
        <w:rPr>
          <w:sz w:val="22"/>
          <w:szCs w:val="22"/>
        </w:rPr>
        <w:t>ICLEI, &amp; ACODAL. (2025c). Informe final del componente II: análisis normativo, institucional y de gobernanza para la plataforma colaborativa regional de economía circular.</w:t>
      </w:r>
    </w:p>
    <w:p w14:paraId="6010ED30" w14:textId="77777777" w:rsidR="00FA1BC1" w:rsidRPr="007F4E9F" w:rsidRDefault="00FA1BC1" w:rsidP="00FA1BC1">
      <w:pPr>
        <w:pStyle w:val="NormalWeb"/>
        <w:rPr>
          <w:sz w:val="22"/>
          <w:szCs w:val="22"/>
        </w:rPr>
      </w:pPr>
      <w:r w:rsidRPr="007F4E9F">
        <w:rPr>
          <w:sz w:val="22"/>
          <w:szCs w:val="22"/>
        </w:rPr>
        <w:t>ICLEI, &amp; ACODAL. (2025d). Modelo de gobernanza para la plataforma de economía circular.</w:t>
      </w:r>
    </w:p>
    <w:p w14:paraId="638F5563" w14:textId="5EF42A1E" w:rsidR="00127C8F" w:rsidRPr="007F4E9F" w:rsidRDefault="00127C8F" w:rsidP="00FA1BC1">
      <w:pPr>
        <w:pStyle w:val="NormalWeb"/>
        <w:rPr>
          <w:sz w:val="22"/>
          <w:szCs w:val="22"/>
        </w:rPr>
      </w:pPr>
      <w:r w:rsidRPr="007F4E9F">
        <w:rPr>
          <w:sz w:val="22"/>
          <w:szCs w:val="22"/>
        </w:rPr>
        <w:t xml:space="preserve">OCDE (2025). Aplicación minuciosa de los criterios de evaluación. Red de Evaluación del Desarrollo (EvalNet) del Comité de Ayuda al Desarrollo (CAD). </w:t>
      </w:r>
      <w:hyperlink r:id="rId30" w:history="1">
        <w:r w:rsidRPr="007F4E9F">
          <w:rPr>
            <w:rStyle w:val="Hyperlink"/>
            <w:sz w:val="22"/>
            <w:szCs w:val="22"/>
          </w:rPr>
          <w:t>https://www.oecd.org/content/dam/oecd/es/publications/reports/2021/03/applying-evaluation-criteria-thoughtfully_45a54ea7/d1e</w:t>
        </w:r>
        <w:r w:rsidRPr="007F4E9F">
          <w:rPr>
            <w:rStyle w:val="Hyperlink"/>
            <w:sz w:val="22"/>
            <w:szCs w:val="22"/>
          </w:rPr>
          <w:t>e</w:t>
        </w:r>
        <w:r w:rsidRPr="007F4E9F">
          <w:rPr>
            <w:rStyle w:val="Hyperlink"/>
            <w:sz w:val="22"/>
            <w:szCs w:val="22"/>
          </w:rPr>
          <w:t>36bb-es.pdf</w:t>
        </w:r>
      </w:hyperlink>
    </w:p>
    <w:p w14:paraId="2C75103F" w14:textId="795C4350" w:rsidR="00FA1BC1" w:rsidRPr="00F526A5" w:rsidRDefault="00FA1BC1" w:rsidP="00FA1BC1">
      <w:pPr>
        <w:pStyle w:val="NormalWeb"/>
        <w:rPr>
          <w:sz w:val="22"/>
          <w:szCs w:val="22"/>
        </w:rPr>
      </w:pPr>
      <w:r w:rsidRPr="007F4E9F">
        <w:rPr>
          <w:sz w:val="22"/>
          <w:szCs w:val="22"/>
        </w:rPr>
        <w:t>Secretaría Distrital de Ambiente. (2023). Política pública distrital de economía circular (CONPES D.C. 35).</w:t>
      </w:r>
    </w:p>
    <w:sectPr w:rsidR="00FA1BC1" w:rsidRPr="00F526A5" w:rsidSect="005261C0">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Kenneth Ochoa" w:date="2026-04-14T15:09:00Z" w:initials="KO">
    <w:p w14:paraId="2B1114BB" w14:textId="77777777" w:rsidR="006734EB" w:rsidRDefault="006734EB" w:rsidP="006734EB">
      <w:pPr>
        <w:pStyle w:val="CommentText"/>
      </w:pPr>
      <w:r>
        <w:rPr>
          <w:rStyle w:val="CommentReference"/>
        </w:rPr>
        <w:annotationRef/>
      </w:r>
      <w:r>
        <w:t>la denominación oficial es Ministerio del Ambiente.</w:t>
      </w:r>
    </w:p>
  </w:comment>
  <w:comment w:id="2" w:author="Kenneth Ochoa" w:date="2026-04-14T15:10:00Z" w:initials="KO">
    <w:p w14:paraId="32067527" w14:textId="77777777" w:rsidR="006734EB" w:rsidRDefault="006734EB" w:rsidP="006734EB">
      <w:pPr>
        <w:pStyle w:val="CommentText"/>
      </w:pPr>
      <w:r>
        <w:rPr>
          <w:rStyle w:val="CommentReference"/>
        </w:rPr>
        <w:annotationRef/>
      </w:r>
      <w:r>
        <w:t>Secretaría Distrital de Desarrollo Económico de Bogotá.</w:t>
      </w:r>
    </w:p>
  </w:comment>
  <w:comment w:id="3" w:author="Kenneth Ochoa" w:date="2026-04-14T15:10:00Z" w:initials="KO">
    <w:p w14:paraId="4265997A" w14:textId="77777777" w:rsidR="006734EB" w:rsidRDefault="006734EB" w:rsidP="006734EB">
      <w:pPr>
        <w:pStyle w:val="CommentText"/>
      </w:pPr>
      <w:r>
        <w:rPr>
          <w:rStyle w:val="CommentReference"/>
        </w:rPr>
        <w:annotationRef/>
      </w:r>
      <w:r>
        <w:t xml:space="preserve">Faltan: </w:t>
      </w:r>
      <w:r>
        <w:br/>
        <w:t>SDA</w:t>
      </w:r>
    </w:p>
    <w:p w14:paraId="4EBDB117" w14:textId="77777777" w:rsidR="006734EB" w:rsidRDefault="006734EB" w:rsidP="006734EB">
      <w:pPr>
        <w:pStyle w:val="CommentText"/>
      </w:pPr>
      <w:r>
        <w:t>CAD</w:t>
      </w:r>
    </w:p>
    <w:p w14:paraId="5E3F9C0A" w14:textId="77777777" w:rsidR="006734EB" w:rsidRDefault="006734EB" w:rsidP="006734EB">
      <w:pPr>
        <w:pStyle w:val="CommentText"/>
      </w:pPr>
      <w:r>
        <w:t>OCDE</w:t>
      </w:r>
    </w:p>
    <w:p w14:paraId="49521FEC" w14:textId="77777777" w:rsidR="006734EB" w:rsidRDefault="006734EB" w:rsidP="006734EB">
      <w:pPr>
        <w:pStyle w:val="CommentText"/>
      </w:pPr>
      <w:r>
        <w:t>EvalNet</w:t>
      </w:r>
    </w:p>
    <w:p w14:paraId="6E9F76F9" w14:textId="77777777" w:rsidR="006734EB" w:rsidRDefault="006734EB" w:rsidP="006734EB">
      <w:pPr>
        <w:pStyle w:val="CommentText"/>
      </w:pPr>
      <w:r>
        <w:t>TdR</w:t>
      </w:r>
    </w:p>
    <w:p w14:paraId="76A43147" w14:textId="77777777" w:rsidR="006734EB" w:rsidRDefault="006734EB" w:rsidP="006734EB">
      <w:pPr>
        <w:pStyle w:val="CommentText"/>
      </w:pPr>
      <w:r>
        <w:t>TI</w:t>
      </w:r>
    </w:p>
    <w:p w14:paraId="140376B1" w14:textId="77777777" w:rsidR="006734EB" w:rsidRDefault="006734EB" w:rsidP="006734EB">
      <w:pPr>
        <w:pStyle w:val="CommentText"/>
      </w:pPr>
      <w:r>
        <w:t>OWASP</w:t>
      </w:r>
    </w:p>
    <w:p w14:paraId="68ADE6A5" w14:textId="77777777" w:rsidR="006734EB" w:rsidRDefault="006734EB" w:rsidP="006734EB">
      <w:pPr>
        <w:pStyle w:val="CommentText"/>
      </w:pPr>
      <w:r>
        <w:t>UI/UX</w:t>
      </w:r>
    </w:p>
  </w:comment>
  <w:comment w:id="5" w:author="Kenneth Ochoa" w:date="2026-04-14T13:18:00Z" w:initials="KO">
    <w:p w14:paraId="25392311" w14:textId="77777777" w:rsidR="00FC1E96" w:rsidRDefault="00FC1E96" w:rsidP="00FC1E96">
      <w:pPr>
        <w:pStyle w:val="CommentText"/>
      </w:pPr>
      <w:r>
        <w:rPr>
          <w:rStyle w:val="CommentReference"/>
        </w:rPr>
        <w:annotationRef/>
      </w:r>
      <w:r>
        <w:t>Puntuación</w:t>
      </w:r>
    </w:p>
  </w:comment>
  <w:comment w:id="6" w:author="Kenneth Ochoa" w:date="2026-04-14T13:23:00Z" w:initials="KO">
    <w:p w14:paraId="0FA8CC3B" w14:textId="77777777" w:rsidR="00FC1E96" w:rsidRDefault="00FC1E96" w:rsidP="00FC1E96">
      <w:pPr>
        <w:pStyle w:val="CommentText"/>
      </w:pPr>
      <w:r>
        <w:rPr>
          <w:rStyle w:val="CommentReference"/>
        </w:rPr>
        <w:annotationRef/>
      </w:r>
      <w:r>
        <w:t xml:space="preserve">En el alcance se señalan 7 criterios, aquí solo 4. </w:t>
      </w:r>
    </w:p>
  </w:comment>
  <w:comment w:id="7" w:author="Kenneth Ochoa" w:date="2026-04-14T13:23:00Z" w:initials="KO">
    <w:p w14:paraId="7CCE02EE" w14:textId="77777777" w:rsidR="00FC1E96" w:rsidRDefault="00FC1E96" w:rsidP="00FC1E96">
      <w:pPr>
        <w:pStyle w:val="CommentText"/>
      </w:pPr>
      <w:r>
        <w:rPr>
          <w:rStyle w:val="CommentReference"/>
        </w:rPr>
        <w:annotationRef/>
      </w:r>
      <w:r>
        <w:t xml:space="preserve">No se puede contar con resultados preliminares en un informe final. </w:t>
      </w:r>
    </w:p>
  </w:comment>
  <w:comment w:id="8" w:author="Kenneth Ochoa" w:date="2026-04-14T13:26:00Z" w:initials="KO">
    <w:p w14:paraId="5559E23B" w14:textId="77777777" w:rsidR="00FC1E96" w:rsidRDefault="00FC1E96" w:rsidP="00FC1E96">
      <w:pPr>
        <w:pStyle w:val="CommentText"/>
      </w:pPr>
      <w:r>
        <w:rPr>
          <w:rStyle w:val="CommentReference"/>
        </w:rPr>
        <w:annotationRef/>
      </w:r>
      <w:r>
        <w:t xml:space="preserve">Más adelante se señala 11 de 21 encuestados (52%). Revisar coherencia. </w:t>
      </w:r>
    </w:p>
  </w:comment>
  <w:comment w:id="10" w:author="Kenneth Ochoa" w:date="2026-04-14T13:30:00Z" w:initials="KO">
    <w:p w14:paraId="3443A523" w14:textId="77777777" w:rsidR="004A3788" w:rsidRDefault="004A3788" w:rsidP="004A3788">
      <w:pPr>
        <w:pStyle w:val="CommentText"/>
      </w:pPr>
      <w:r>
        <w:rPr>
          <w:rStyle w:val="CommentReference"/>
        </w:rPr>
        <w:annotationRef/>
      </w:r>
      <w:r>
        <w:t xml:space="preserve">Considerando que el componente 3 no se desarrolló, es importante incluir un apartado donde se evalúe las implicaciones de la no ejecución. </w:t>
      </w:r>
    </w:p>
  </w:comment>
  <w:comment w:id="12" w:author="Kenneth Ochoa" w:date="2026-04-14T13:31:00Z" w:initials="KO">
    <w:p w14:paraId="6A64EB78" w14:textId="77777777" w:rsidR="004A3788" w:rsidRDefault="004A3788" w:rsidP="004A3788">
      <w:pPr>
        <w:pStyle w:val="CommentText"/>
      </w:pPr>
      <w:r>
        <w:rPr>
          <w:rStyle w:val="CommentReference"/>
        </w:rPr>
        <w:annotationRef/>
      </w:r>
      <w:r>
        <w:t xml:space="preserve">Esta y otras referencias están mal desarrolladas. </w:t>
      </w:r>
    </w:p>
  </w:comment>
  <w:comment w:id="17" w:author="Kenneth Ochoa" w:date="2026-04-14T13:33:00Z" w:initials="KO">
    <w:p w14:paraId="57F30885" w14:textId="77777777" w:rsidR="004A3788" w:rsidRDefault="004A3788" w:rsidP="004A3788">
      <w:pPr>
        <w:pStyle w:val="CommentText"/>
      </w:pPr>
      <w:r>
        <w:rPr>
          <w:rStyle w:val="CommentReference"/>
        </w:rPr>
        <w:annotationRef/>
      </w:r>
      <w:r>
        <w:t xml:space="preserve">Este es el informe final. </w:t>
      </w:r>
    </w:p>
  </w:comment>
  <w:comment w:id="21" w:author="Kenneth Ochoa" w:date="2026-04-14T13:34:00Z" w:initials="KO">
    <w:p w14:paraId="58241750" w14:textId="77777777" w:rsidR="004A3788" w:rsidRDefault="004A3788" w:rsidP="004A3788">
      <w:pPr>
        <w:pStyle w:val="CommentText"/>
      </w:pPr>
      <w:r>
        <w:rPr>
          <w:rStyle w:val="CommentReference"/>
        </w:rPr>
        <w:annotationRef/>
      </w:r>
      <w:r>
        <w:t xml:space="preserve">Evitar tablas fragmentadas. </w:t>
      </w:r>
    </w:p>
  </w:comment>
  <w:comment w:id="25" w:author="Kenneth Ochoa" w:date="2026-04-14T13:36:00Z" w:initials="KO">
    <w:p w14:paraId="413DEFA8" w14:textId="77777777" w:rsidR="004A3788" w:rsidRDefault="004A3788" w:rsidP="004A3788">
      <w:pPr>
        <w:pStyle w:val="CommentText"/>
      </w:pPr>
      <w:r>
        <w:rPr>
          <w:rStyle w:val="CommentReference"/>
        </w:rPr>
        <w:annotationRef/>
      </w:r>
      <w:r>
        <w:t>Describir (uniformidad)</w:t>
      </w:r>
    </w:p>
  </w:comment>
  <w:comment w:id="26" w:author="Kenneth Ochoa" w:date="2026-04-14T13:39:00Z" w:initials="KO">
    <w:p w14:paraId="32B62876" w14:textId="77777777" w:rsidR="00CA7DBB" w:rsidRDefault="00CA7DBB" w:rsidP="00CA7DBB">
      <w:pPr>
        <w:pStyle w:val="CommentText"/>
      </w:pPr>
      <w:r>
        <w:rPr>
          <w:rStyle w:val="CommentReference"/>
        </w:rPr>
        <w:annotationRef/>
      </w:r>
      <w:r>
        <w:t xml:space="preserve">Mantener uniformidad en el formato de la columna. </w:t>
      </w:r>
    </w:p>
  </w:comment>
  <w:comment w:id="27" w:author="Kenneth Ochoa" w:date="2026-04-14T13:38:00Z" w:initials="KO">
    <w:p w14:paraId="33995A75" w14:textId="77777777" w:rsidR="00CA7DBB" w:rsidRDefault="00CA7DBB" w:rsidP="00CA7DBB">
      <w:pPr>
        <w:pStyle w:val="CommentText"/>
      </w:pPr>
      <w:r>
        <w:rPr>
          <w:rStyle w:val="CommentReference"/>
        </w:rPr>
        <w:annotationRef/>
      </w:r>
      <w:r>
        <w:t xml:space="preserve">Aclarar porque parecería que 2/2 = 50%, Si el universo es 2 y la muestra es 2, se considera un censo. Si de ese censo solo responde 1, hay que analizar confiabilidad, etc. </w:t>
      </w:r>
    </w:p>
  </w:comment>
  <w:comment w:id="28" w:author="Kenneth Ochoa" w:date="2026-04-14T13:39:00Z" w:initials="KO">
    <w:p w14:paraId="2D7CD947" w14:textId="77777777" w:rsidR="00CA7DBB" w:rsidRDefault="00CA7DBB" w:rsidP="00CA7DBB">
      <w:pPr>
        <w:pStyle w:val="CommentText"/>
      </w:pPr>
      <w:r>
        <w:rPr>
          <w:rStyle w:val="CommentReference"/>
        </w:rPr>
        <w:annotationRef/>
      </w:r>
      <w:r>
        <w:t xml:space="preserve">Las muestras son los que se esperaban que respondieran o los que respondieron. Por favor, aclarar. </w:t>
      </w:r>
    </w:p>
  </w:comment>
  <w:comment w:id="29" w:author="Kenneth Ochoa" w:date="2026-04-14T14:00:00Z" w:initials="KO">
    <w:p w14:paraId="56CED9AC" w14:textId="77777777" w:rsidR="0088549B" w:rsidRDefault="0088549B" w:rsidP="0088549B">
      <w:pPr>
        <w:pStyle w:val="CommentText"/>
      </w:pPr>
      <w:r>
        <w:rPr>
          <w:rStyle w:val="CommentReference"/>
        </w:rPr>
        <w:annotationRef/>
      </w:r>
      <w:r>
        <w:t>Completar</w:t>
      </w:r>
    </w:p>
  </w:comment>
  <w:comment w:id="30" w:author="Kenneth Ochoa" w:date="2026-04-14T13:39:00Z" w:initials="KO">
    <w:p w14:paraId="23D5499E" w14:textId="77777777" w:rsidR="00CA7DBB" w:rsidRDefault="00CA7DBB" w:rsidP="00CA7DBB">
      <w:pPr>
        <w:pStyle w:val="CommentText"/>
      </w:pPr>
      <w:r>
        <w:rPr>
          <w:rStyle w:val="CommentReference"/>
        </w:rPr>
        <w:annotationRef/>
      </w:r>
      <w:r>
        <w:t xml:space="preserve">Incluir. </w:t>
      </w:r>
    </w:p>
  </w:comment>
  <w:comment w:id="31" w:author="Kenneth Ochoa" w:date="2026-04-14T14:00:00Z" w:initials="KO">
    <w:p w14:paraId="30538C73" w14:textId="77777777" w:rsidR="0088549B" w:rsidRDefault="0088549B" w:rsidP="0088549B">
      <w:pPr>
        <w:pStyle w:val="CommentText"/>
      </w:pPr>
      <w:r>
        <w:rPr>
          <w:rStyle w:val="CommentReference"/>
        </w:rPr>
        <w:annotationRef/>
      </w:r>
      <w:r>
        <w:t>Completar</w:t>
      </w:r>
    </w:p>
  </w:comment>
  <w:comment w:id="75" w:author="Kenneth Ochoa" w:date="2026-04-14T14:07:00Z" w:initials="KO">
    <w:p w14:paraId="509CDA65" w14:textId="77777777" w:rsidR="0088549B" w:rsidRDefault="0088549B" w:rsidP="0088549B">
      <w:pPr>
        <w:pStyle w:val="CommentText"/>
      </w:pPr>
      <w:r>
        <w:rPr>
          <w:rStyle w:val="CommentReference"/>
        </w:rPr>
        <w:annotationRef/>
      </w:r>
      <w:r>
        <w:t xml:space="preserve">Este reporte se hace con cierre al contrato: 28 de enero de 2026. No corresponde solo a lo corrido entre el 1 y el 28. Esto se explicó en la correspondencia remitida al evaluador. </w:t>
      </w:r>
    </w:p>
  </w:comment>
  <w:comment w:id="76" w:author="Kenneth Ochoa" w:date="2026-04-14T14:09:00Z" w:initials="KO">
    <w:p w14:paraId="514C4964" w14:textId="77777777" w:rsidR="0088549B" w:rsidRDefault="0088549B" w:rsidP="0088549B">
      <w:pPr>
        <w:pStyle w:val="CommentText"/>
      </w:pPr>
      <w:r>
        <w:rPr>
          <w:rStyle w:val="CommentReference"/>
        </w:rPr>
        <w:annotationRef/>
      </w:r>
      <w:r>
        <w:t xml:space="preserve">Como se explicó en el documento del ecosistema, los usuarios de la plataforma pueden ser personas naturales o jurídicas. Los programas de la SDA están registrados en la plataforma digital. </w:t>
      </w:r>
    </w:p>
  </w:comment>
  <w:comment w:id="77" w:author="Kenneth Ochoa" w:date="2026-04-14T14:43:00Z" w:initials="KO">
    <w:p w14:paraId="4544D889" w14:textId="77777777" w:rsidR="00EE571C" w:rsidRDefault="00EE571C" w:rsidP="00EE571C">
      <w:pPr>
        <w:pStyle w:val="CommentText"/>
      </w:pPr>
      <w:r>
        <w:rPr>
          <w:rStyle w:val="CommentReference"/>
        </w:rPr>
        <w:annotationRef/>
      </w:r>
      <w:r>
        <w:t xml:space="preserve">Aquí se señala cumplimiento pleno, pero más abajo se establece que no hubo dinamización efectiva ni cumplimiento operativo de la meta transaccional. Por favor, revisar. </w:t>
      </w:r>
    </w:p>
  </w:comment>
  <w:comment w:id="81" w:author="Kenneth Ochoa" w:date="2026-04-14T14:41:00Z" w:initials="KO">
    <w:p w14:paraId="1E243295" w14:textId="77777777" w:rsidR="00EE571C" w:rsidRDefault="00EE571C" w:rsidP="00EE571C">
      <w:pPr>
        <w:pStyle w:val="CommentText"/>
      </w:pPr>
      <w:r>
        <w:rPr>
          <w:rStyle w:val="CommentReference"/>
        </w:rPr>
        <w:annotationRef/>
      </w:r>
      <w:r>
        <w:t>Corrientes</w:t>
      </w:r>
    </w:p>
  </w:comment>
  <w:comment w:id="82" w:author="Kenneth Ochoa" w:date="2026-04-14T14:41:00Z" w:initials="KO">
    <w:p w14:paraId="25E85C50" w14:textId="77777777" w:rsidR="00EE571C" w:rsidRDefault="00EE571C" w:rsidP="00EE571C">
      <w:pPr>
        <w:pStyle w:val="CommentText"/>
      </w:pPr>
      <w:r>
        <w:rPr>
          <w:rStyle w:val="CommentReference"/>
        </w:rPr>
        <w:annotationRef/>
      </w:r>
      <w:r>
        <w:t xml:space="preserve">Señalar que este valor no suma, si no, la tabla queda errada. </w:t>
      </w:r>
    </w:p>
  </w:comment>
  <w:comment w:id="84" w:author="Kenneth Ochoa" w:date="2026-04-14T14:45:00Z" w:initials="KO">
    <w:p w14:paraId="55F7356E" w14:textId="77777777" w:rsidR="00EE571C" w:rsidRDefault="00EE571C" w:rsidP="00EE571C">
      <w:pPr>
        <w:pStyle w:val="CommentText"/>
      </w:pPr>
      <w:r>
        <w:rPr>
          <w:rStyle w:val="CommentReference"/>
        </w:rPr>
        <w:annotationRef/>
      </w:r>
      <w:r>
        <w:t xml:space="preserve">No se anulan. Se limitan, considerando que quedan los datos expuestos (modelo directorio / vitrina). </w:t>
      </w:r>
    </w:p>
  </w:comment>
  <w:comment w:id="85" w:author="Kenneth Ochoa" w:date="2026-04-14T14:46:00Z" w:initials="KO">
    <w:p w14:paraId="16941852" w14:textId="77777777" w:rsidR="00EE571C" w:rsidRDefault="00EE571C" w:rsidP="00EE571C">
      <w:pPr>
        <w:pStyle w:val="CommentText"/>
      </w:pPr>
      <w:r>
        <w:rPr>
          <w:rStyle w:val="CommentReference"/>
        </w:rPr>
        <w:annotationRef/>
      </w:r>
      <w:r>
        <w:t xml:space="preserve">Si bien no se registro la transacción, los modelos de marketplace cuentan con diferentes alcances. Señalar que no se traduce en operatividad comercial no obedece a las evidencias presentadas. </w:t>
      </w:r>
    </w:p>
  </w:comment>
  <w:comment w:id="86" w:author="Kenneth Ochoa" w:date="2026-04-14T14:51:00Z" w:initials="KO">
    <w:p w14:paraId="4FBB7672" w14:textId="77777777" w:rsidR="00C26D5A" w:rsidRDefault="00C26D5A" w:rsidP="00C26D5A">
      <w:pPr>
        <w:pStyle w:val="CommentText"/>
      </w:pPr>
      <w:r>
        <w:rPr>
          <w:rStyle w:val="CommentReference"/>
        </w:rPr>
        <w:annotationRef/>
      </w:r>
      <w:r>
        <w:t xml:space="preserve">Se solicita precisar. </w:t>
      </w:r>
    </w:p>
  </w:comment>
  <w:comment w:id="87" w:author="Kenneth Ochoa" w:date="2026-04-14T14:52:00Z" w:initials="KO">
    <w:p w14:paraId="45F11510" w14:textId="77777777" w:rsidR="00C26D5A" w:rsidRDefault="00C26D5A" w:rsidP="00C26D5A">
      <w:pPr>
        <w:pStyle w:val="CommentText"/>
      </w:pPr>
      <w:r>
        <w:rPr>
          <w:rStyle w:val="CommentReference"/>
        </w:rPr>
        <w:annotationRef/>
      </w:r>
      <w:r>
        <w:t>Se solicita i</w:t>
      </w:r>
      <w:r>
        <w:rPr>
          <w:color w:val="000000"/>
        </w:rPr>
        <w:t>ncorporar un análisis explícito de eficiencia: costos de desarrollo, mantenimiento, soporte, mercadeo y relación con resultados efectivos de uso y transacción.</w:t>
      </w:r>
    </w:p>
  </w:comment>
  <w:comment w:id="95" w:author="Kenneth Ochoa" w:date="2026-04-14T15:14:00Z" w:initials="KO">
    <w:p w14:paraId="6A62E3D8" w14:textId="77777777" w:rsidR="009D00D4" w:rsidRDefault="009D00D4" w:rsidP="009D00D4">
      <w:pPr>
        <w:pStyle w:val="CommentText"/>
      </w:pPr>
      <w:r>
        <w:rPr>
          <w:rStyle w:val="CommentReference"/>
        </w:rPr>
        <w:annotationRef/>
      </w:r>
      <w:r>
        <w:t xml:space="preserve">Nota al pie. No es claro qué es. </w:t>
      </w:r>
    </w:p>
  </w:comment>
  <w:comment w:id="118" w:author="Kenneth Ochoa" w:date="2026-04-14T14:53:00Z" w:initials="KO">
    <w:p w14:paraId="23D3B149" w14:textId="77777777" w:rsidR="00C26D5A" w:rsidRDefault="00C26D5A" w:rsidP="00C26D5A">
      <w:pPr>
        <w:pStyle w:val="CommentText"/>
      </w:pPr>
      <w:r>
        <w:rPr>
          <w:rStyle w:val="CommentReference"/>
        </w:rPr>
        <w:annotationRef/>
      </w:r>
      <w:r>
        <w:t>Ajustar numeración (viene de 6.2.3 y salta a 6.2.1)</w:t>
      </w:r>
    </w:p>
  </w:comment>
  <w:comment w:id="124" w:author="Kenneth Ochoa" w:date="2026-04-14T14:54:00Z" w:initials="KO">
    <w:p w14:paraId="18D16266" w14:textId="77777777" w:rsidR="00C26D5A" w:rsidRDefault="00C26D5A" w:rsidP="00C26D5A">
      <w:pPr>
        <w:pStyle w:val="CommentText"/>
      </w:pPr>
      <w:r>
        <w:rPr>
          <w:rStyle w:val="CommentReference"/>
        </w:rPr>
        <w:annotationRef/>
      </w:r>
      <w:r>
        <w:t xml:space="preserve">Este es el informe final. </w:t>
      </w:r>
    </w:p>
  </w:comment>
  <w:comment w:id="126" w:author="Kenneth Ochoa" w:date="2026-04-14T14:57:00Z" w:initials="KO">
    <w:p w14:paraId="664E2CA0" w14:textId="77777777" w:rsidR="00C26D5A" w:rsidRDefault="00C26D5A" w:rsidP="00C26D5A">
      <w:pPr>
        <w:pStyle w:val="CommentText"/>
      </w:pPr>
      <w:r>
        <w:rPr>
          <w:rStyle w:val="CommentReference"/>
        </w:rPr>
        <w:annotationRef/>
      </w:r>
      <w:r>
        <w:t xml:space="preserve">Por favor, revisar la redacción. El párrafo es confuso y redundante. </w:t>
      </w:r>
    </w:p>
  </w:comment>
  <w:comment w:id="139" w:author="Kenneth Ochoa" w:date="2026-04-14T14:59:00Z" w:initials="KO">
    <w:p w14:paraId="151E1CE2" w14:textId="77777777" w:rsidR="00C26D5A" w:rsidRDefault="00C26D5A" w:rsidP="00C26D5A">
      <w:pPr>
        <w:pStyle w:val="CommentText"/>
      </w:pPr>
      <w:r>
        <w:rPr>
          <w:rStyle w:val="CommentReference"/>
        </w:rPr>
        <w:annotationRef/>
      </w:r>
      <w:r>
        <w:t>puntuación</w:t>
      </w:r>
    </w:p>
  </w:comment>
  <w:comment w:id="140" w:author="Kenneth Ochoa" w:date="2026-04-14T14:59:00Z" w:initials="KO">
    <w:p w14:paraId="7D9D307B" w14:textId="77777777" w:rsidR="00C26D5A" w:rsidRDefault="00C26D5A" w:rsidP="00C26D5A">
      <w:pPr>
        <w:pStyle w:val="CommentText"/>
      </w:pPr>
      <w:r>
        <w:rPr>
          <w:rStyle w:val="CommentReference"/>
        </w:rPr>
        <w:annotationRef/>
      </w:r>
      <w:r>
        <w:t>contratación</w:t>
      </w:r>
    </w:p>
  </w:comment>
  <w:comment w:id="141" w:author="Kenneth Ochoa" w:date="2026-04-14T14:59:00Z" w:initials="KO">
    <w:p w14:paraId="5634A42A" w14:textId="77777777" w:rsidR="00C26D5A" w:rsidRDefault="00C26D5A" w:rsidP="00C26D5A">
      <w:pPr>
        <w:pStyle w:val="CommentText"/>
      </w:pPr>
      <w:r>
        <w:rPr>
          <w:rStyle w:val="CommentReference"/>
        </w:rPr>
        <w:annotationRef/>
      </w:r>
      <w:r>
        <w:t>Ley</w:t>
      </w:r>
    </w:p>
  </w:comment>
  <w:comment w:id="144" w:author="Kenneth Ochoa" w:date="2026-04-14T15:01:00Z" w:initials="KO">
    <w:p w14:paraId="3092F883" w14:textId="77777777" w:rsidR="00C26D5A" w:rsidRDefault="00C26D5A" w:rsidP="00C26D5A">
      <w:pPr>
        <w:pStyle w:val="CommentText"/>
      </w:pPr>
      <w:r>
        <w:rPr>
          <w:rStyle w:val="CommentReference"/>
        </w:rPr>
        <w:annotationRef/>
      </w:r>
      <w:r>
        <w:t xml:space="preserve">Informe final. </w:t>
      </w:r>
    </w:p>
  </w:comment>
  <w:comment w:id="145" w:author="Kenneth Ochoa" w:date="2026-04-14T15:01:00Z" w:initials="KO">
    <w:p w14:paraId="68BCDC81" w14:textId="77777777" w:rsidR="006734EB" w:rsidRDefault="006734EB" w:rsidP="006734EB">
      <w:pPr>
        <w:pStyle w:val="CommentText"/>
      </w:pPr>
      <w:r>
        <w:rPr>
          <w:rStyle w:val="CommentReference"/>
        </w:rPr>
        <w:annotationRef/>
      </w:r>
      <w:r>
        <w:t>corregir</w:t>
      </w:r>
    </w:p>
  </w:comment>
  <w:comment w:id="146" w:author="Kenneth Ochoa" w:date="2026-04-14T15:01:00Z" w:initials="KO">
    <w:p w14:paraId="6910127F" w14:textId="77777777" w:rsidR="006734EB" w:rsidRDefault="006734EB" w:rsidP="006734EB">
      <w:pPr>
        <w:pStyle w:val="CommentText"/>
      </w:pPr>
      <w:r>
        <w:rPr>
          <w:rStyle w:val="CommentReference"/>
        </w:rPr>
        <w:annotationRef/>
      </w:r>
      <w:r>
        <w:t>corregir</w:t>
      </w:r>
    </w:p>
  </w:comment>
  <w:comment w:id="147" w:author="Kenneth Ochoa" w:date="2026-04-14T15:01:00Z" w:initials="KO">
    <w:p w14:paraId="055D95BA" w14:textId="77777777" w:rsidR="006734EB" w:rsidRDefault="006734EB" w:rsidP="006734EB">
      <w:pPr>
        <w:pStyle w:val="CommentText"/>
      </w:pPr>
      <w:r>
        <w:rPr>
          <w:rStyle w:val="CommentReference"/>
        </w:rPr>
        <w:annotationRef/>
      </w:r>
      <w:r>
        <w:t>corregir</w:t>
      </w:r>
    </w:p>
  </w:comment>
  <w:comment w:id="148" w:author="Kenneth Ochoa" w:date="2026-04-14T15:02:00Z" w:initials="KO">
    <w:p w14:paraId="028AFFD2" w14:textId="77777777" w:rsidR="006734EB" w:rsidRDefault="006734EB" w:rsidP="006734EB">
      <w:pPr>
        <w:pStyle w:val="CommentText"/>
      </w:pPr>
      <w:r>
        <w:rPr>
          <w:rStyle w:val="CommentReference"/>
        </w:rPr>
        <w:annotationRef/>
      </w:r>
      <w:r>
        <w:rPr>
          <w:color w:val="000000"/>
        </w:rPr>
        <w:t>Incorporar una síntesis ejecutiva de hallazgos técnicos críticos, priorizados por severidad, costo estimado y urgencia de intervención.</w:t>
      </w:r>
    </w:p>
  </w:comment>
  <w:comment w:id="150" w:author="Kenneth Ochoa" w:date="2026-04-14T15:03:00Z" w:initials="KO">
    <w:p w14:paraId="2637897C" w14:textId="77777777" w:rsidR="006734EB" w:rsidRDefault="006734EB" w:rsidP="006734EB">
      <w:pPr>
        <w:pStyle w:val="CommentText"/>
      </w:pPr>
      <w:r>
        <w:rPr>
          <w:rStyle w:val="CommentReference"/>
        </w:rPr>
        <w:annotationRef/>
      </w:r>
      <w:r>
        <w:t>La presenta desalineación entre recomendación y análisis técnico. Por ejemplo, el ítem sobre “estructura y mapa del sitio” se justifica con una vulnerabilidad por inyección de datos. La matriz no está bien construida. Se solicita rehacer la tabla asegurando correspondencia directa entre cada recomendación, el hallazgo que la sustenta y la evidencia técnica asociada.</w:t>
      </w:r>
    </w:p>
  </w:comment>
  <w:comment w:id="151" w:author="Kenneth Ochoa" w:date="2026-04-14T15:13:00Z" w:initials="KO">
    <w:p w14:paraId="7D9BE194" w14:textId="77777777" w:rsidR="009D00D4" w:rsidRDefault="009D00D4" w:rsidP="009D00D4">
      <w:pPr>
        <w:pStyle w:val="CommentText"/>
      </w:pPr>
      <w:r>
        <w:rPr>
          <w:rStyle w:val="CommentReference"/>
        </w:rPr>
        <w:annotationRef/>
      </w:r>
      <w:r>
        <w:t>No existe entrada bibliográfica correspondiente en la sección de referencias.</w:t>
      </w:r>
    </w:p>
  </w:comment>
  <w:comment w:id="152" w:author="Kenneth Ochoa" w:date="2026-04-14T15:04:00Z" w:initials="KO">
    <w:p w14:paraId="33FFFD89" w14:textId="77777777" w:rsidR="006734EB" w:rsidRDefault="006734EB" w:rsidP="006734EB">
      <w:pPr>
        <w:pStyle w:val="CommentText"/>
      </w:pPr>
      <w:r>
        <w:rPr>
          <w:rStyle w:val="CommentReference"/>
        </w:rPr>
        <w:annotationRef/>
      </w:r>
      <w:r>
        <w:t>Considerando el alcance de la evaluación final, se solicita convertir el cierre en un plan de acción: recomendación, prioridad, responsable, plazo, dependencia técnica y recurso estimado.</w:t>
      </w:r>
    </w:p>
  </w:comment>
  <w:comment w:id="154" w:author="Kenneth Ochoa" w:date="2026-04-14T15:05:00Z" w:initials="KO">
    <w:p w14:paraId="62E78E87" w14:textId="77777777" w:rsidR="006734EB" w:rsidRDefault="006734EB" w:rsidP="006734EB">
      <w:pPr>
        <w:pStyle w:val="CommentText"/>
      </w:pPr>
      <w:r>
        <w:rPr>
          <w:rStyle w:val="CommentReference"/>
        </w:rPr>
        <w:annotationRef/>
      </w:r>
      <w:r>
        <w:t>Página aparte, sin numeración</w:t>
      </w:r>
    </w:p>
  </w:comment>
  <w:comment w:id="158" w:author="Kenneth Ochoa" w:date="2026-04-14T15:05:00Z" w:initials="KO">
    <w:p w14:paraId="6F5DE1A0" w14:textId="77777777" w:rsidR="006734EB" w:rsidRDefault="006734EB" w:rsidP="006734EB">
      <w:pPr>
        <w:pStyle w:val="CommentText"/>
      </w:pPr>
      <w:r>
        <w:rPr>
          <w:rStyle w:val="CommentReference"/>
        </w:rPr>
        <w:annotationRef/>
      </w:r>
      <w:r>
        <w:t xml:space="preserve">Página aparte sin numeración. </w:t>
      </w:r>
    </w:p>
  </w:comment>
  <w:comment w:id="159" w:author="Kenneth Ochoa" w:date="2026-04-14T15:12:00Z" w:initials="KO">
    <w:p w14:paraId="76123BFA" w14:textId="77777777" w:rsidR="009D00D4" w:rsidRDefault="009D00D4" w:rsidP="009D00D4">
      <w:pPr>
        <w:pStyle w:val="CommentText"/>
      </w:pPr>
      <w:r>
        <w:rPr>
          <w:rStyle w:val="CommentReference"/>
        </w:rPr>
        <w:annotationRef/>
      </w:r>
      <w:r>
        <w:t>A lo largo del texto aparecen citas como Banco Interamericano de Desarrollo, año”, lo que indica que el dato bibliográfico no fue completado. Además, no existe una referencia correspondiente en la lista final.</w:t>
      </w:r>
    </w:p>
  </w:comment>
  <w:comment w:id="160" w:author="Kenneth Ochoa" w:date="2026-04-14T15:12:00Z" w:initials="KO">
    <w:p w14:paraId="68BA6F4D" w14:textId="77777777" w:rsidR="009D00D4" w:rsidRDefault="009D00D4" w:rsidP="009D00D4">
      <w:pPr>
        <w:pStyle w:val="CommentText"/>
      </w:pPr>
      <w:r>
        <w:rPr>
          <w:rStyle w:val="CommentReference"/>
        </w:rPr>
        <w:annotationRef/>
      </w:r>
      <w:r>
        <w:t>En el texto se cita “European Commission, &amp; Ellen MacArthur Foundation, 2020”, pero en la lista final solo aparece European Commission. (2020).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1114BB" w15:done="0"/>
  <w15:commentEx w15:paraId="32067527" w15:done="0"/>
  <w15:commentEx w15:paraId="68ADE6A5" w15:done="0"/>
  <w15:commentEx w15:paraId="25392311" w15:done="0"/>
  <w15:commentEx w15:paraId="0FA8CC3B" w15:done="0"/>
  <w15:commentEx w15:paraId="7CCE02EE" w15:done="0"/>
  <w15:commentEx w15:paraId="5559E23B" w15:done="0"/>
  <w15:commentEx w15:paraId="3443A523" w15:done="0"/>
  <w15:commentEx w15:paraId="6A64EB78" w15:done="0"/>
  <w15:commentEx w15:paraId="57F30885" w15:done="0"/>
  <w15:commentEx w15:paraId="58241750" w15:done="0"/>
  <w15:commentEx w15:paraId="413DEFA8" w15:done="0"/>
  <w15:commentEx w15:paraId="32B62876" w15:done="0"/>
  <w15:commentEx w15:paraId="33995A75" w15:done="0"/>
  <w15:commentEx w15:paraId="2D7CD947" w15:paraIdParent="33995A75" w15:done="0"/>
  <w15:commentEx w15:paraId="56CED9AC" w15:done="0"/>
  <w15:commentEx w15:paraId="23D5499E" w15:done="0"/>
  <w15:commentEx w15:paraId="30538C73" w15:done="0"/>
  <w15:commentEx w15:paraId="509CDA65" w15:done="0"/>
  <w15:commentEx w15:paraId="514C4964" w15:done="0"/>
  <w15:commentEx w15:paraId="4544D889" w15:done="0"/>
  <w15:commentEx w15:paraId="1E243295" w15:done="0"/>
  <w15:commentEx w15:paraId="25E85C50" w15:done="0"/>
  <w15:commentEx w15:paraId="55F7356E" w15:done="0"/>
  <w15:commentEx w15:paraId="16941852" w15:done="0"/>
  <w15:commentEx w15:paraId="4FBB7672" w15:done="0"/>
  <w15:commentEx w15:paraId="45F11510" w15:done="0"/>
  <w15:commentEx w15:paraId="6A62E3D8" w15:done="0"/>
  <w15:commentEx w15:paraId="23D3B149" w15:done="0"/>
  <w15:commentEx w15:paraId="18D16266" w15:done="0"/>
  <w15:commentEx w15:paraId="664E2CA0" w15:done="0"/>
  <w15:commentEx w15:paraId="151E1CE2" w15:done="0"/>
  <w15:commentEx w15:paraId="7D9D307B" w15:done="0"/>
  <w15:commentEx w15:paraId="5634A42A" w15:done="0"/>
  <w15:commentEx w15:paraId="3092F883" w15:done="0"/>
  <w15:commentEx w15:paraId="68BCDC81" w15:done="0"/>
  <w15:commentEx w15:paraId="6910127F" w15:done="0"/>
  <w15:commentEx w15:paraId="055D95BA" w15:done="0"/>
  <w15:commentEx w15:paraId="028AFFD2" w15:done="0"/>
  <w15:commentEx w15:paraId="2637897C" w15:done="0"/>
  <w15:commentEx w15:paraId="7D9BE194" w15:done="0"/>
  <w15:commentEx w15:paraId="33FFFD89" w15:done="0"/>
  <w15:commentEx w15:paraId="62E78E87" w15:done="0"/>
  <w15:commentEx w15:paraId="6F5DE1A0" w15:done="0"/>
  <w15:commentEx w15:paraId="76123BFA" w15:paraIdParent="6F5DE1A0" w15:done="0"/>
  <w15:commentEx w15:paraId="68BA6F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70A440" w16cex:dateUtc="2026-04-14T20:09:00Z"/>
  <w16cex:commentExtensible w16cex:durableId="799483A5" w16cex:dateUtc="2026-04-14T20:10:00Z"/>
  <w16cex:commentExtensible w16cex:durableId="612E5A40" w16cex:dateUtc="2026-04-14T20:10:00Z"/>
  <w16cex:commentExtensible w16cex:durableId="4150B877" w16cex:dateUtc="2026-04-14T18:18:00Z"/>
  <w16cex:commentExtensible w16cex:durableId="24839D6C" w16cex:dateUtc="2026-04-14T18:23:00Z"/>
  <w16cex:commentExtensible w16cex:durableId="281118AE" w16cex:dateUtc="2026-04-14T18:23:00Z"/>
  <w16cex:commentExtensible w16cex:durableId="41CFE19A" w16cex:dateUtc="2026-04-14T18:26:00Z"/>
  <w16cex:commentExtensible w16cex:durableId="1D060142" w16cex:dateUtc="2026-04-14T18:30:00Z"/>
  <w16cex:commentExtensible w16cex:durableId="6E4959F3" w16cex:dateUtc="2026-04-14T18:31:00Z"/>
  <w16cex:commentExtensible w16cex:durableId="7D5BB896" w16cex:dateUtc="2026-04-14T18:33:00Z"/>
  <w16cex:commentExtensible w16cex:durableId="73CAD55F" w16cex:dateUtc="2026-04-14T18:34:00Z"/>
  <w16cex:commentExtensible w16cex:durableId="40E708C5" w16cex:dateUtc="2026-04-14T18:36:00Z"/>
  <w16cex:commentExtensible w16cex:durableId="322FA77B" w16cex:dateUtc="2026-04-14T18:39:00Z"/>
  <w16cex:commentExtensible w16cex:durableId="294E9764" w16cex:dateUtc="2026-04-14T18:38:00Z"/>
  <w16cex:commentExtensible w16cex:durableId="5D42F178" w16cex:dateUtc="2026-04-14T18:39:00Z"/>
  <w16cex:commentExtensible w16cex:durableId="74A0466B" w16cex:dateUtc="2026-04-14T19:00:00Z"/>
  <w16cex:commentExtensible w16cex:durableId="391DC4E1" w16cex:dateUtc="2026-04-14T18:39:00Z"/>
  <w16cex:commentExtensible w16cex:durableId="200F73B8" w16cex:dateUtc="2026-04-14T19:00:00Z"/>
  <w16cex:commentExtensible w16cex:durableId="6CBC0F39" w16cex:dateUtc="2026-04-14T19:07:00Z"/>
  <w16cex:commentExtensible w16cex:durableId="1B48DB5E" w16cex:dateUtc="2026-04-14T19:09:00Z"/>
  <w16cex:commentExtensible w16cex:durableId="15C8BAFD" w16cex:dateUtc="2026-04-14T19:43:00Z"/>
  <w16cex:commentExtensible w16cex:durableId="49A5BCC8" w16cex:dateUtc="2026-04-14T19:41:00Z"/>
  <w16cex:commentExtensible w16cex:durableId="3CAF87D3" w16cex:dateUtc="2026-04-14T19:41:00Z"/>
  <w16cex:commentExtensible w16cex:durableId="4E28E061" w16cex:dateUtc="2026-04-14T19:45:00Z"/>
  <w16cex:commentExtensible w16cex:durableId="317C7476" w16cex:dateUtc="2026-04-14T19:46:00Z"/>
  <w16cex:commentExtensible w16cex:durableId="61CF2A93" w16cex:dateUtc="2026-04-14T19:51:00Z"/>
  <w16cex:commentExtensible w16cex:durableId="0C9EEBC9" w16cex:dateUtc="2026-04-14T19:52:00Z"/>
  <w16cex:commentExtensible w16cex:durableId="36F744CB" w16cex:dateUtc="2026-04-14T20:14:00Z"/>
  <w16cex:commentExtensible w16cex:durableId="499D1CC1" w16cex:dateUtc="2026-04-14T19:53:00Z"/>
  <w16cex:commentExtensible w16cex:durableId="51187A5E" w16cex:dateUtc="2026-04-14T19:54:00Z"/>
  <w16cex:commentExtensible w16cex:durableId="1D6F75F9" w16cex:dateUtc="2026-04-14T19:57:00Z"/>
  <w16cex:commentExtensible w16cex:durableId="195EE942" w16cex:dateUtc="2026-04-14T19:59:00Z"/>
  <w16cex:commentExtensible w16cex:durableId="629EA300" w16cex:dateUtc="2026-04-14T19:59:00Z"/>
  <w16cex:commentExtensible w16cex:durableId="44409263" w16cex:dateUtc="2026-04-14T19:59:00Z"/>
  <w16cex:commentExtensible w16cex:durableId="069DB129" w16cex:dateUtc="2026-04-14T20:01:00Z"/>
  <w16cex:commentExtensible w16cex:durableId="11DFD401" w16cex:dateUtc="2026-04-14T20:01:00Z"/>
  <w16cex:commentExtensible w16cex:durableId="1010AB72" w16cex:dateUtc="2026-04-14T20:01:00Z"/>
  <w16cex:commentExtensible w16cex:durableId="5E17CB95" w16cex:dateUtc="2026-04-14T20:01:00Z"/>
  <w16cex:commentExtensible w16cex:durableId="711CF038" w16cex:dateUtc="2026-04-14T20:02:00Z"/>
  <w16cex:commentExtensible w16cex:durableId="36177C0F" w16cex:dateUtc="2026-04-14T20:03:00Z"/>
  <w16cex:commentExtensible w16cex:durableId="4456D02A" w16cex:dateUtc="2026-04-14T20:13:00Z"/>
  <w16cex:commentExtensible w16cex:durableId="59A56A47" w16cex:dateUtc="2026-04-14T20:04:00Z"/>
  <w16cex:commentExtensible w16cex:durableId="1837C1E1" w16cex:dateUtc="2026-04-14T20:05:00Z"/>
  <w16cex:commentExtensible w16cex:durableId="476FD750" w16cex:dateUtc="2026-04-14T20:05:00Z"/>
  <w16cex:commentExtensible w16cex:durableId="75A965F2" w16cex:dateUtc="2026-04-14T20:12:00Z"/>
  <w16cex:commentExtensible w16cex:durableId="2E060C74" w16cex:dateUtc="2026-04-14T2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1114BB" w16cid:durableId="5B70A440"/>
  <w16cid:commentId w16cid:paraId="32067527" w16cid:durableId="799483A5"/>
  <w16cid:commentId w16cid:paraId="68ADE6A5" w16cid:durableId="612E5A40"/>
  <w16cid:commentId w16cid:paraId="25392311" w16cid:durableId="4150B877"/>
  <w16cid:commentId w16cid:paraId="0FA8CC3B" w16cid:durableId="24839D6C"/>
  <w16cid:commentId w16cid:paraId="7CCE02EE" w16cid:durableId="281118AE"/>
  <w16cid:commentId w16cid:paraId="5559E23B" w16cid:durableId="41CFE19A"/>
  <w16cid:commentId w16cid:paraId="3443A523" w16cid:durableId="1D060142"/>
  <w16cid:commentId w16cid:paraId="6A64EB78" w16cid:durableId="6E4959F3"/>
  <w16cid:commentId w16cid:paraId="57F30885" w16cid:durableId="7D5BB896"/>
  <w16cid:commentId w16cid:paraId="58241750" w16cid:durableId="73CAD55F"/>
  <w16cid:commentId w16cid:paraId="413DEFA8" w16cid:durableId="40E708C5"/>
  <w16cid:commentId w16cid:paraId="32B62876" w16cid:durableId="322FA77B"/>
  <w16cid:commentId w16cid:paraId="33995A75" w16cid:durableId="294E9764"/>
  <w16cid:commentId w16cid:paraId="2D7CD947" w16cid:durableId="5D42F178"/>
  <w16cid:commentId w16cid:paraId="56CED9AC" w16cid:durableId="74A0466B"/>
  <w16cid:commentId w16cid:paraId="23D5499E" w16cid:durableId="391DC4E1"/>
  <w16cid:commentId w16cid:paraId="30538C73" w16cid:durableId="200F73B8"/>
  <w16cid:commentId w16cid:paraId="509CDA65" w16cid:durableId="6CBC0F39"/>
  <w16cid:commentId w16cid:paraId="514C4964" w16cid:durableId="1B48DB5E"/>
  <w16cid:commentId w16cid:paraId="4544D889" w16cid:durableId="15C8BAFD"/>
  <w16cid:commentId w16cid:paraId="1E243295" w16cid:durableId="49A5BCC8"/>
  <w16cid:commentId w16cid:paraId="25E85C50" w16cid:durableId="3CAF87D3"/>
  <w16cid:commentId w16cid:paraId="55F7356E" w16cid:durableId="4E28E061"/>
  <w16cid:commentId w16cid:paraId="16941852" w16cid:durableId="317C7476"/>
  <w16cid:commentId w16cid:paraId="4FBB7672" w16cid:durableId="61CF2A93"/>
  <w16cid:commentId w16cid:paraId="45F11510" w16cid:durableId="0C9EEBC9"/>
  <w16cid:commentId w16cid:paraId="6A62E3D8" w16cid:durableId="36F744CB"/>
  <w16cid:commentId w16cid:paraId="23D3B149" w16cid:durableId="499D1CC1"/>
  <w16cid:commentId w16cid:paraId="18D16266" w16cid:durableId="51187A5E"/>
  <w16cid:commentId w16cid:paraId="664E2CA0" w16cid:durableId="1D6F75F9"/>
  <w16cid:commentId w16cid:paraId="151E1CE2" w16cid:durableId="195EE942"/>
  <w16cid:commentId w16cid:paraId="7D9D307B" w16cid:durableId="629EA300"/>
  <w16cid:commentId w16cid:paraId="5634A42A" w16cid:durableId="44409263"/>
  <w16cid:commentId w16cid:paraId="3092F883" w16cid:durableId="069DB129"/>
  <w16cid:commentId w16cid:paraId="68BCDC81" w16cid:durableId="11DFD401"/>
  <w16cid:commentId w16cid:paraId="6910127F" w16cid:durableId="1010AB72"/>
  <w16cid:commentId w16cid:paraId="055D95BA" w16cid:durableId="5E17CB95"/>
  <w16cid:commentId w16cid:paraId="028AFFD2" w16cid:durableId="711CF038"/>
  <w16cid:commentId w16cid:paraId="2637897C" w16cid:durableId="36177C0F"/>
  <w16cid:commentId w16cid:paraId="7D9BE194" w16cid:durableId="4456D02A"/>
  <w16cid:commentId w16cid:paraId="33FFFD89" w16cid:durableId="59A56A47"/>
  <w16cid:commentId w16cid:paraId="62E78E87" w16cid:durableId="1837C1E1"/>
  <w16cid:commentId w16cid:paraId="6F5DE1A0" w16cid:durableId="476FD750"/>
  <w16cid:commentId w16cid:paraId="76123BFA" w16cid:durableId="75A965F2"/>
  <w16cid:commentId w16cid:paraId="68BA6F4D" w16cid:durableId="2E060C7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7F56203"/>
    <w:multiLevelType w:val="hybridMultilevel"/>
    <w:tmpl w:val="BFE688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D5234DC"/>
    <w:multiLevelType w:val="hybridMultilevel"/>
    <w:tmpl w:val="70D03F1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D99544F"/>
    <w:multiLevelType w:val="hybridMultilevel"/>
    <w:tmpl w:val="318655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A061E01"/>
    <w:multiLevelType w:val="hybridMultilevel"/>
    <w:tmpl w:val="9976E62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1E630664"/>
    <w:multiLevelType w:val="hybridMultilevel"/>
    <w:tmpl w:val="E18A010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368379F2"/>
    <w:multiLevelType w:val="hybridMultilevel"/>
    <w:tmpl w:val="1E2603C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3DB03F60"/>
    <w:multiLevelType w:val="multilevel"/>
    <w:tmpl w:val="2CD09432"/>
    <w:lvl w:ilvl="0">
      <w:start w:val="1"/>
      <w:numFmt w:val="decimal"/>
      <w:pStyle w:val="Heading1"/>
      <w:lvlText w:val="%1"/>
      <w:lvlJc w:val="left"/>
      <w:pPr>
        <w:ind w:left="432" w:hanging="432"/>
      </w:pPr>
    </w:lvl>
    <w:lvl w:ilvl="1">
      <w:start w:val="1"/>
      <w:numFmt w:val="decimal"/>
      <w:pStyle w:val="Heading2"/>
      <w:lvlText w:val="%1.%2"/>
      <w:lvlJc w:val="left"/>
      <w:pPr>
        <w:ind w:left="1568" w:hanging="576"/>
      </w:pPr>
    </w:lvl>
    <w:lvl w:ilvl="2">
      <w:start w:val="1"/>
      <w:numFmt w:val="decimal"/>
      <w:pStyle w:val="Heading3"/>
      <w:lvlText w:val="%1.%2.%3"/>
      <w:lvlJc w:val="left"/>
      <w:pPr>
        <w:ind w:left="128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FA844BF"/>
    <w:multiLevelType w:val="hybridMultilevel"/>
    <w:tmpl w:val="47FAA1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74319D0"/>
    <w:multiLevelType w:val="hybridMultilevel"/>
    <w:tmpl w:val="0AF4A4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BAD55DA"/>
    <w:multiLevelType w:val="hybridMultilevel"/>
    <w:tmpl w:val="1082BA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D2D6027"/>
    <w:multiLevelType w:val="hybridMultilevel"/>
    <w:tmpl w:val="AAAC132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15:restartNumberingAfterBreak="0">
    <w:nsid w:val="6C94257D"/>
    <w:multiLevelType w:val="hybridMultilevel"/>
    <w:tmpl w:val="D882AE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75E223A"/>
    <w:multiLevelType w:val="hybridMultilevel"/>
    <w:tmpl w:val="7C6A4D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67687228">
    <w:abstractNumId w:val="5"/>
  </w:num>
  <w:num w:numId="2" w16cid:durableId="2145854600">
    <w:abstractNumId w:val="3"/>
  </w:num>
  <w:num w:numId="3" w16cid:durableId="1445884867">
    <w:abstractNumId w:val="2"/>
  </w:num>
  <w:num w:numId="4" w16cid:durableId="813181851">
    <w:abstractNumId w:val="4"/>
  </w:num>
  <w:num w:numId="5" w16cid:durableId="677118549">
    <w:abstractNumId w:val="1"/>
  </w:num>
  <w:num w:numId="6" w16cid:durableId="168570706">
    <w:abstractNumId w:val="0"/>
  </w:num>
  <w:num w:numId="7" w16cid:durableId="722094688">
    <w:abstractNumId w:val="12"/>
  </w:num>
  <w:num w:numId="8" w16cid:durableId="496195197">
    <w:abstractNumId w:val="8"/>
  </w:num>
  <w:num w:numId="9" w16cid:durableId="994333298">
    <w:abstractNumId w:val="18"/>
  </w:num>
  <w:num w:numId="10" w16cid:durableId="1478523990">
    <w:abstractNumId w:val="15"/>
  </w:num>
  <w:num w:numId="11" w16cid:durableId="1224372333">
    <w:abstractNumId w:val="6"/>
  </w:num>
  <w:num w:numId="12" w16cid:durableId="789476662">
    <w:abstractNumId w:val="13"/>
  </w:num>
  <w:num w:numId="13" w16cid:durableId="1410345744">
    <w:abstractNumId w:val="17"/>
  </w:num>
  <w:num w:numId="14" w16cid:durableId="129833304">
    <w:abstractNumId w:val="11"/>
  </w:num>
  <w:num w:numId="15" w16cid:durableId="819738392">
    <w:abstractNumId w:val="9"/>
  </w:num>
  <w:num w:numId="16" w16cid:durableId="705758724">
    <w:abstractNumId w:val="10"/>
  </w:num>
  <w:num w:numId="17" w16cid:durableId="231619698">
    <w:abstractNumId w:val="16"/>
  </w:num>
  <w:num w:numId="18" w16cid:durableId="2053339544">
    <w:abstractNumId w:val="14"/>
  </w:num>
  <w:num w:numId="19" w16cid:durableId="4813099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9673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6616987">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neth Ochoa">
    <w15:presenceInfo w15:providerId="AD" w15:userId="S::k.ochoa129@uniandes.edu.co::6fbefb91-c465-47cf-8449-b37ee29448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3B5"/>
    <w:rsid w:val="000133A6"/>
    <w:rsid w:val="00024A6C"/>
    <w:rsid w:val="00034616"/>
    <w:rsid w:val="00044832"/>
    <w:rsid w:val="0005508F"/>
    <w:rsid w:val="00056DB6"/>
    <w:rsid w:val="0006063C"/>
    <w:rsid w:val="000632CF"/>
    <w:rsid w:val="0007118A"/>
    <w:rsid w:val="000814E4"/>
    <w:rsid w:val="00083282"/>
    <w:rsid w:val="000875B5"/>
    <w:rsid w:val="0009425E"/>
    <w:rsid w:val="000A3157"/>
    <w:rsid w:val="000A5978"/>
    <w:rsid w:val="000A7BB9"/>
    <w:rsid w:val="000C2D7B"/>
    <w:rsid w:val="000C4184"/>
    <w:rsid w:val="000D035C"/>
    <w:rsid w:val="000D12CB"/>
    <w:rsid w:val="000D3811"/>
    <w:rsid w:val="000D66C7"/>
    <w:rsid w:val="000D7A90"/>
    <w:rsid w:val="000E3065"/>
    <w:rsid w:val="0010074F"/>
    <w:rsid w:val="00105A90"/>
    <w:rsid w:val="00107133"/>
    <w:rsid w:val="00107E6C"/>
    <w:rsid w:val="00111FCE"/>
    <w:rsid w:val="00114149"/>
    <w:rsid w:val="00117707"/>
    <w:rsid w:val="00117CA9"/>
    <w:rsid w:val="00117F33"/>
    <w:rsid w:val="00120876"/>
    <w:rsid w:val="00124A1A"/>
    <w:rsid w:val="00127C8F"/>
    <w:rsid w:val="00131B08"/>
    <w:rsid w:val="00131E16"/>
    <w:rsid w:val="00140036"/>
    <w:rsid w:val="0014018D"/>
    <w:rsid w:val="00141134"/>
    <w:rsid w:val="00147566"/>
    <w:rsid w:val="0015074B"/>
    <w:rsid w:val="00152E21"/>
    <w:rsid w:val="001573FB"/>
    <w:rsid w:val="0016014F"/>
    <w:rsid w:val="00167707"/>
    <w:rsid w:val="00174843"/>
    <w:rsid w:val="0017756A"/>
    <w:rsid w:val="001831B5"/>
    <w:rsid w:val="00184AB6"/>
    <w:rsid w:val="00192D10"/>
    <w:rsid w:val="00197E2D"/>
    <w:rsid w:val="001A5660"/>
    <w:rsid w:val="001A5864"/>
    <w:rsid w:val="001A6603"/>
    <w:rsid w:val="001A6B5A"/>
    <w:rsid w:val="001B0603"/>
    <w:rsid w:val="001B2C2E"/>
    <w:rsid w:val="001B759C"/>
    <w:rsid w:val="001C5A3C"/>
    <w:rsid w:val="001E0C0A"/>
    <w:rsid w:val="001E46EF"/>
    <w:rsid w:val="001E7087"/>
    <w:rsid w:val="001E7973"/>
    <w:rsid w:val="001E7C2A"/>
    <w:rsid w:val="001F3584"/>
    <w:rsid w:val="00200213"/>
    <w:rsid w:val="002010E8"/>
    <w:rsid w:val="00203920"/>
    <w:rsid w:val="002060FD"/>
    <w:rsid w:val="0021378C"/>
    <w:rsid w:val="00216534"/>
    <w:rsid w:val="002216AC"/>
    <w:rsid w:val="002268B1"/>
    <w:rsid w:val="00233D02"/>
    <w:rsid w:val="00246385"/>
    <w:rsid w:val="0024750F"/>
    <w:rsid w:val="00251DD2"/>
    <w:rsid w:val="002523A7"/>
    <w:rsid w:val="00264454"/>
    <w:rsid w:val="002665F5"/>
    <w:rsid w:val="0027526F"/>
    <w:rsid w:val="0028091D"/>
    <w:rsid w:val="00281005"/>
    <w:rsid w:val="002914C0"/>
    <w:rsid w:val="002947FC"/>
    <w:rsid w:val="0029639D"/>
    <w:rsid w:val="002A3AAA"/>
    <w:rsid w:val="002B0880"/>
    <w:rsid w:val="002B3AC5"/>
    <w:rsid w:val="002B717C"/>
    <w:rsid w:val="002D0247"/>
    <w:rsid w:val="002D05C0"/>
    <w:rsid w:val="002D0A36"/>
    <w:rsid w:val="002D687A"/>
    <w:rsid w:val="002D6EFA"/>
    <w:rsid w:val="002D772C"/>
    <w:rsid w:val="002E2C47"/>
    <w:rsid w:val="002E48D7"/>
    <w:rsid w:val="002E5865"/>
    <w:rsid w:val="002F0AB2"/>
    <w:rsid w:val="00300CD7"/>
    <w:rsid w:val="0030213A"/>
    <w:rsid w:val="0030402A"/>
    <w:rsid w:val="00307F3E"/>
    <w:rsid w:val="00317D59"/>
    <w:rsid w:val="0032192F"/>
    <w:rsid w:val="003221CD"/>
    <w:rsid w:val="0032235A"/>
    <w:rsid w:val="00326F90"/>
    <w:rsid w:val="003270AC"/>
    <w:rsid w:val="00331C7B"/>
    <w:rsid w:val="00346493"/>
    <w:rsid w:val="00347A99"/>
    <w:rsid w:val="00347E79"/>
    <w:rsid w:val="0035077F"/>
    <w:rsid w:val="00350FA4"/>
    <w:rsid w:val="00360C30"/>
    <w:rsid w:val="00366DE0"/>
    <w:rsid w:val="00374FC1"/>
    <w:rsid w:val="0037582D"/>
    <w:rsid w:val="0038004E"/>
    <w:rsid w:val="00380FC4"/>
    <w:rsid w:val="00381629"/>
    <w:rsid w:val="00386A83"/>
    <w:rsid w:val="00393FD0"/>
    <w:rsid w:val="00396049"/>
    <w:rsid w:val="003A0684"/>
    <w:rsid w:val="003A1159"/>
    <w:rsid w:val="003A4B3E"/>
    <w:rsid w:val="003B1026"/>
    <w:rsid w:val="003B5B35"/>
    <w:rsid w:val="003B70C6"/>
    <w:rsid w:val="003B72C8"/>
    <w:rsid w:val="003C28A6"/>
    <w:rsid w:val="003C40C9"/>
    <w:rsid w:val="003C5071"/>
    <w:rsid w:val="003C659D"/>
    <w:rsid w:val="003C7753"/>
    <w:rsid w:val="003D4748"/>
    <w:rsid w:val="003D7BAC"/>
    <w:rsid w:val="003E013D"/>
    <w:rsid w:val="003E2785"/>
    <w:rsid w:val="003E7C66"/>
    <w:rsid w:val="003F2007"/>
    <w:rsid w:val="003F42CE"/>
    <w:rsid w:val="003F6E19"/>
    <w:rsid w:val="004023F9"/>
    <w:rsid w:val="00410580"/>
    <w:rsid w:val="004112D3"/>
    <w:rsid w:val="004117A3"/>
    <w:rsid w:val="0041182B"/>
    <w:rsid w:val="00411FB5"/>
    <w:rsid w:val="00412C74"/>
    <w:rsid w:val="00412FF4"/>
    <w:rsid w:val="00414A42"/>
    <w:rsid w:val="00414BC8"/>
    <w:rsid w:val="004161BE"/>
    <w:rsid w:val="0042657D"/>
    <w:rsid w:val="00432A91"/>
    <w:rsid w:val="00433026"/>
    <w:rsid w:val="00440B5C"/>
    <w:rsid w:val="00444085"/>
    <w:rsid w:val="00451112"/>
    <w:rsid w:val="00451ED7"/>
    <w:rsid w:val="00460255"/>
    <w:rsid w:val="0046467B"/>
    <w:rsid w:val="00470492"/>
    <w:rsid w:val="00474D47"/>
    <w:rsid w:val="00475F46"/>
    <w:rsid w:val="0047776C"/>
    <w:rsid w:val="00480B0E"/>
    <w:rsid w:val="004837C0"/>
    <w:rsid w:val="00483CEC"/>
    <w:rsid w:val="00483FA4"/>
    <w:rsid w:val="00484BD9"/>
    <w:rsid w:val="00491DE6"/>
    <w:rsid w:val="00492D74"/>
    <w:rsid w:val="00492DCC"/>
    <w:rsid w:val="0049686F"/>
    <w:rsid w:val="00496C94"/>
    <w:rsid w:val="0049751C"/>
    <w:rsid w:val="004A1E5F"/>
    <w:rsid w:val="004A3788"/>
    <w:rsid w:val="004A56AA"/>
    <w:rsid w:val="004A7408"/>
    <w:rsid w:val="004A7BE3"/>
    <w:rsid w:val="004B4316"/>
    <w:rsid w:val="004B6187"/>
    <w:rsid w:val="004D260C"/>
    <w:rsid w:val="004D276D"/>
    <w:rsid w:val="004E394E"/>
    <w:rsid w:val="004E4186"/>
    <w:rsid w:val="004E4970"/>
    <w:rsid w:val="004F4A54"/>
    <w:rsid w:val="004F50CD"/>
    <w:rsid w:val="004F60CB"/>
    <w:rsid w:val="00500603"/>
    <w:rsid w:val="00504955"/>
    <w:rsid w:val="00513B34"/>
    <w:rsid w:val="005178AD"/>
    <w:rsid w:val="005206AA"/>
    <w:rsid w:val="00520D7A"/>
    <w:rsid w:val="00521A40"/>
    <w:rsid w:val="0052315B"/>
    <w:rsid w:val="00523D41"/>
    <w:rsid w:val="00523E31"/>
    <w:rsid w:val="005261C0"/>
    <w:rsid w:val="005405E0"/>
    <w:rsid w:val="00543776"/>
    <w:rsid w:val="0054764B"/>
    <w:rsid w:val="00555D71"/>
    <w:rsid w:val="00562BB6"/>
    <w:rsid w:val="005631C6"/>
    <w:rsid w:val="00564551"/>
    <w:rsid w:val="00567D19"/>
    <w:rsid w:val="005712AE"/>
    <w:rsid w:val="00574465"/>
    <w:rsid w:val="00580D7D"/>
    <w:rsid w:val="0058424E"/>
    <w:rsid w:val="00584C7A"/>
    <w:rsid w:val="00586B80"/>
    <w:rsid w:val="00590DB9"/>
    <w:rsid w:val="00594CC2"/>
    <w:rsid w:val="005A0F36"/>
    <w:rsid w:val="005A5D2C"/>
    <w:rsid w:val="005B25CF"/>
    <w:rsid w:val="005B2D5A"/>
    <w:rsid w:val="005C3660"/>
    <w:rsid w:val="005D352E"/>
    <w:rsid w:val="005E1932"/>
    <w:rsid w:val="005E1A3F"/>
    <w:rsid w:val="005E3463"/>
    <w:rsid w:val="005E5CB3"/>
    <w:rsid w:val="005E6B47"/>
    <w:rsid w:val="005E74F2"/>
    <w:rsid w:val="005F34CE"/>
    <w:rsid w:val="006015AD"/>
    <w:rsid w:val="00603D77"/>
    <w:rsid w:val="00603E3B"/>
    <w:rsid w:val="00612E66"/>
    <w:rsid w:val="006160DB"/>
    <w:rsid w:val="006218EF"/>
    <w:rsid w:val="0062563F"/>
    <w:rsid w:val="00631E3D"/>
    <w:rsid w:val="00633910"/>
    <w:rsid w:val="0063434A"/>
    <w:rsid w:val="00634EBD"/>
    <w:rsid w:val="006374AC"/>
    <w:rsid w:val="00640D0D"/>
    <w:rsid w:val="00643273"/>
    <w:rsid w:val="006446A1"/>
    <w:rsid w:val="00644ADA"/>
    <w:rsid w:val="00655354"/>
    <w:rsid w:val="00662A82"/>
    <w:rsid w:val="00665C22"/>
    <w:rsid w:val="0066731F"/>
    <w:rsid w:val="00672A54"/>
    <w:rsid w:val="006734EB"/>
    <w:rsid w:val="0067395D"/>
    <w:rsid w:val="00673E38"/>
    <w:rsid w:val="00685230"/>
    <w:rsid w:val="006872EA"/>
    <w:rsid w:val="00695763"/>
    <w:rsid w:val="006A1F50"/>
    <w:rsid w:val="006A35C6"/>
    <w:rsid w:val="006A4A26"/>
    <w:rsid w:val="006A4F67"/>
    <w:rsid w:val="006A6983"/>
    <w:rsid w:val="006A6BE1"/>
    <w:rsid w:val="006B2090"/>
    <w:rsid w:val="006B4A8D"/>
    <w:rsid w:val="006B7C2B"/>
    <w:rsid w:val="006C313F"/>
    <w:rsid w:val="006C578A"/>
    <w:rsid w:val="006C5EFE"/>
    <w:rsid w:val="006C6CC1"/>
    <w:rsid w:val="006D0DD6"/>
    <w:rsid w:val="006D4BB4"/>
    <w:rsid w:val="006D6077"/>
    <w:rsid w:val="006E462C"/>
    <w:rsid w:val="006F0EB1"/>
    <w:rsid w:val="006F2AAC"/>
    <w:rsid w:val="006F4082"/>
    <w:rsid w:val="006F4A45"/>
    <w:rsid w:val="006F4F5D"/>
    <w:rsid w:val="0070000A"/>
    <w:rsid w:val="007058A8"/>
    <w:rsid w:val="00712840"/>
    <w:rsid w:val="00743986"/>
    <w:rsid w:val="007532F7"/>
    <w:rsid w:val="007554D3"/>
    <w:rsid w:val="00760FDC"/>
    <w:rsid w:val="007645CB"/>
    <w:rsid w:val="0077013B"/>
    <w:rsid w:val="00777E69"/>
    <w:rsid w:val="007909E6"/>
    <w:rsid w:val="007969AE"/>
    <w:rsid w:val="007A0495"/>
    <w:rsid w:val="007A20F2"/>
    <w:rsid w:val="007A73CB"/>
    <w:rsid w:val="007B0BFE"/>
    <w:rsid w:val="007B38B3"/>
    <w:rsid w:val="007B732E"/>
    <w:rsid w:val="007C3533"/>
    <w:rsid w:val="007C5888"/>
    <w:rsid w:val="007C64A2"/>
    <w:rsid w:val="007D3F3D"/>
    <w:rsid w:val="007E2694"/>
    <w:rsid w:val="007E5BB9"/>
    <w:rsid w:val="007F1A16"/>
    <w:rsid w:val="007F4E9F"/>
    <w:rsid w:val="007F7B09"/>
    <w:rsid w:val="00805343"/>
    <w:rsid w:val="00814897"/>
    <w:rsid w:val="008150DF"/>
    <w:rsid w:val="008217FB"/>
    <w:rsid w:val="00825F81"/>
    <w:rsid w:val="00826A90"/>
    <w:rsid w:val="008330F3"/>
    <w:rsid w:val="00847185"/>
    <w:rsid w:val="008479E2"/>
    <w:rsid w:val="00852660"/>
    <w:rsid w:val="008526F8"/>
    <w:rsid w:val="008548D1"/>
    <w:rsid w:val="00860DB8"/>
    <w:rsid w:val="00862A04"/>
    <w:rsid w:val="00865B03"/>
    <w:rsid w:val="0087183C"/>
    <w:rsid w:val="00873490"/>
    <w:rsid w:val="00877F0B"/>
    <w:rsid w:val="008826E4"/>
    <w:rsid w:val="0088549B"/>
    <w:rsid w:val="0089117D"/>
    <w:rsid w:val="008948F2"/>
    <w:rsid w:val="00896792"/>
    <w:rsid w:val="008A61BD"/>
    <w:rsid w:val="008B01B2"/>
    <w:rsid w:val="008B1E80"/>
    <w:rsid w:val="008B4FC3"/>
    <w:rsid w:val="008B7203"/>
    <w:rsid w:val="008C2149"/>
    <w:rsid w:val="008C21B2"/>
    <w:rsid w:val="008C3F18"/>
    <w:rsid w:val="008D4607"/>
    <w:rsid w:val="008D7B96"/>
    <w:rsid w:val="008E06CB"/>
    <w:rsid w:val="008E2447"/>
    <w:rsid w:val="00902A61"/>
    <w:rsid w:val="00905999"/>
    <w:rsid w:val="00905B70"/>
    <w:rsid w:val="009065E9"/>
    <w:rsid w:val="00913B36"/>
    <w:rsid w:val="009201E5"/>
    <w:rsid w:val="009268E8"/>
    <w:rsid w:val="00935126"/>
    <w:rsid w:val="009356D1"/>
    <w:rsid w:val="0095272E"/>
    <w:rsid w:val="00965555"/>
    <w:rsid w:val="00965F62"/>
    <w:rsid w:val="00966022"/>
    <w:rsid w:val="00966267"/>
    <w:rsid w:val="0096727E"/>
    <w:rsid w:val="0098397E"/>
    <w:rsid w:val="00985516"/>
    <w:rsid w:val="00990AA6"/>
    <w:rsid w:val="009931D5"/>
    <w:rsid w:val="00994F24"/>
    <w:rsid w:val="00995291"/>
    <w:rsid w:val="009B270D"/>
    <w:rsid w:val="009C01DF"/>
    <w:rsid w:val="009C0F6F"/>
    <w:rsid w:val="009C6A22"/>
    <w:rsid w:val="009D00D4"/>
    <w:rsid w:val="009D0D2C"/>
    <w:rsid w:val="009E0896"/>
    <w:rsid w:val="009E5B08"/>
    <w:rsid w:val="009E6BE6"/>
    <w:rsid w:val="00A0257A"/>
    <w:rsid w:val="00A04240"/>
    <w:rsid w:val="00A048C7"/>
    <w:rsid w:val="00A06259"/>
    <w:rsid w:val="00A10343"/>
    <w:rsid w:val="00A119E3"/>
    <w:rsid w:val="00A13A9C"/>
    <w:rsid w:val="00A16D50"/>
    <w:rsid w:val="00A16E01"/>
    <w:rsid w:val="00A2610C"/>
    <w:rsid w:val="00A31198"/>
    <w:rsid w:val="00A32C46"/>
    <w:rsid w:val="00A33D18"/>
    <w:rsid w:val="00A34A10"/>
    <w:rsid w:val="00A57651"/>
    <w:rsid w:val="00A676FD"/>
    <w:rsid w:val="00A72EF0"/>
    <w:rsid w:val="00A77312"/>
    <w:rsid w:val="00A8509C"/>
    <w:rsid w:val="00A87888"/>
    <w:rsid w:val="00A937D7"/>
    <w:rsid w:val="00A96AA3"/>
    <w:rsid w:val="00AA1D8D"/>
    <w:rsid w:val="00AA49E7"/>
    <w:rsid w:val="00AA6F9C"/>
    <w:rsid w:val="00AB0650"/>
    <w:rsid w:val="00AB57C3"/>
    <w:rsid w:val="00AC1E45"/>
    <w:rsid w:val="00AC4EA2"/>
    <w:rsid w:val="00AC731F"/>
    <w:rsid w:val="00AC783E"/>
    <w:rsid w:val="00AD38CF"/>
    <w:rsid w:val="00AE04E6"/>
    <w:rsid w:val="00AE4008"/>
    <w:rsid w:val="00AE5EFF"/>
    <w:rsid w:val="00AE74D9"/>
    <w:rsid w:val="00AF2BFE"/>
    <w:rsid w:val="00AF7FC5"/>
    <w:rsid w:val="00B076E3"/>
    <w:rsid w:val="00B125BE"/>
    <w:rsid w:val="00B14ADF"/>
    <w:rsid w:val="00B206C1"/>
    <w:rsid w:val="00B22086"/>
    <w:rsid w:val="00B22A58"/>
    <w:rsid w:val="00B23840"/>
    <w:rsid w:val="00B43F37"/>
    <w:rsid w:val="00B4410C"/>
    <w:rsid w:val="00B47730"/>
    <w:rsid w:val="00B54DBB"/>
    <w:rsid w:val="00B551DC"/>
    <w:rsid w:val="00B56387"/>
    <w:rsid w:val="00B6089F"/>
    <w:rsid w:val="00B645FD"/>
    <w:rsid w:val="00B703C3"/>
    <w:rsid w:val="00B71339"/>
    <w:rsid w:val="00B7190F"/>
    <w:rsid w:val="00B7665D"/>
    <w:rsid w:val="00B774A8"/>
    <w:rsid w:val="00B83F0B"/>
    <w:rsid w:val="00B91F45"/>
    <w:rsid w:val="00B92FFC"/>
    <w:rsid w:val="00BA374B"/>
    <w:rsid w:val="00BA6430"/>
    <w:rsid w:val="00BB5F26"/>
    <w:rsid w:val="00BB630D"/>
    <w:rsid w:val="00BC0E62"/>
    <w:rsid w:val="00BC448A"/>
    <w:rsid w:val="00BC68E0"/>
    <w:rsid w:val="00BC7E6C"/>
    <w:rsid w:val="00BD1066"/>
    <w:rsid w:val="00BD1D3A"/>
    <w:rsid w:val="00BD6845"/>
    <w:rsid w:val="00BE5A1F"/>
    <w:rsid w:val="00BF2CE5"/>
    <w:rsid w:val="00BF3AE7"/>
    <w:rsid w:val="00C13BD0"/>
    <w:rsid w:val="00C15C3F"/>
    <w:rsid w:val="00C23872"/>
    <w:rsid w:val="00C24131"/>
    <w:rsid w:val="00C26D5A"/>
    <w:rsid w:val="00C308FD"/>
    <w:rsid w:val="00C32FA9"/>
    <w:rsid w:val="00C331D2"/>
    <w:rsid w:val="00C404C0"/>
    <w:rsid w:val="00C4235E"/>
    <w:rsid w:val="00C442A6"/>
    <w:rsid w:val="00C4641E"/>
    <w:rsid w:val="00C46B36"/>
    <w:rsid w:val="00C46B41"/>
    <w:rsid w:val="00C50A91"/>
    <w:rsid w:val="00C51092"/>
    <w:rsid w:val="00C51F25"/>
    <w:rsid w:val="00C55A43"/>
    <w:rsid w:val="00C63D85"/>
    <w:rsid w:val="00C76AA9"/>
    <w:rsid w:val="00C8142B"/>
    <w:rsid w:val="00C82610"/>
    <w:rsid w:val="00C83ADE"/>
    <w:rsid w:val="00C8732F"/>
    <w:rsid w:val="00C879F2"/>
    <w:rsid w:val="00C90E7B"/>
    <w:rsid w:val="00C91A22"/>
    <w:rsid w:val="00C950B3"/>
    <w:rsid w:val="00CA0820"/>
    <w:rsid w:val="00CA108B"/>
    <w:rsid w:val="00CA2C8B"/>
    <w:rsid w:val="00CA3F49"/>
    <w:rsid w:val="00CA501E"/>
    <w:rsid w:val="00CA750E"/>
    <w:rsid w:val="00CA7DBB"/>
    <w:rsid w:val="00CB0664"/>
    <w:rsid w:val="00CB1A80"/>
    <w:rsid w:val="00CB362D"/>
    <w:rsid w:val="00CB3654"/>
    <w:rsid w:val="00CC0108"/>
    <w:rsid w:val="00CC0FF2"/>
    <w:rsid w:val="00CC3C65"/>
    <w:rsid w:val="00CC4181"/>
    <w:rsid w:val="00CC7597"/>
    <w:rsid w:val="00CC7F8B"/>
    <w:rsid w:val="00CD1B5B"/>
    <w:rsid w:val="00CD2064"/>
    <w:rsid w:val="00CE5E73"/>
    <w:rsid w:val="00CF01E3"/>
    <w:rsid w:val="00CF1DA7"/>
    <w:rsid w:val="00CF5BC6"/>
    <w:rsid w:val="00D01D94"/>
    <w:rsid w:val="00D04241"/>
    <w:rsid w:val="00D13C3C"/>
    <w:rsid w:val="00D162BE"/>
    <w:rsid w:val="00D24393"/>
    <w:rsid w:val="00D24D17"/>
    <w:rsid w:val="00D25D1A"/>
    <w:rsid w:val="00D26268"/>
    <w:rsid w:val="00D27104"/>
    <w:rsid w:val="00D36D41"/>
    <w:rsid w:val="00D445D9"/>
    <w:rsid w:val="00D46F6C"/>
    <w:rsid w:val="00D643BF"/>
    <w:rsid w:val="00D6684A"/>
    <w:rsid w:val="00D677F0"/>
    <w:rsid w:val="00D74496"/>
    <w:rsid w:val="00D8134B"/>
    <w:rsid w:val="00D82BF0"/>
    <w:rsid w:val="00D92EFF"/>
    <w:rsid w:val="00D9330E"/>
    <w:rsid w:val="00DA09C1"/>
    <w:rsid w:val="00DA407B"/>
    <w:rsid w:val="00DB04E1"/>
    <w:rsid w:val="00DB580A"/>
    <w:rsid w:val="00DB7F85"/>
    <w:rsid w:val="00DC3990"/>
    <w:rsid w:val="00DC39B3"/>
    <w:rsid w:val="00DC633D"/>
    <w:rsid w:val="00DC69A6"/>
    <w:rsid w:val="00DC747C"/>
    <w:rsid w:val="00DD2B72"/>
    <w:rsid w:val="00DD4C39"/>
    <w:rsid w:val="00DD5AF8"/>
    <w:rsid w:val="00DE18F6"/>
    <w:rsid w:val="00DE2376"/>
    <w:rsid w:val="00DE296F"/>
    <w:rsid w:val="00DE5377"/>
    <w:rsid w:val="00DE6A05"/>
    <w:rsid w:val="00DE7D1C"/>
    <w:rsid w:val="00DF4AA5"/>
    <w:rsid w:val="00DF785A"/>
    <w:rsid w:val="00E11043"/>
    <w:rsid w:val="00E14E42"/>
    <w:rsid w:val="00E23A96"/>
    <w:rsid w:val="00E306EA"/>
    <w:rsid w:val="00E30EAC"/>
    <w:rsid w:val="00E33875"/>
    <w:rsid w:val="00E52FB6"/>
    <w:rsid w:val="00E536BE"/>
    <w:rsid w:val="00E57361"/>
    <w:rsid w:val="00E66650"/>
    <w:rsid w:val="00E7384B"/>
    <w:rsid w:val="00E7544A"/>
    <w:rsid w:val="00E75774"/>
    <w:rsid w:val="00E7708B"/>
    <w:rsid w:val="00E77FBF"/>
    <w:rsid w:val="00E8583F"/>
    <w:rsid w:val="00E915D2"/>
    <w:rsid w:val="00EA1E07"/>
    <w:rsid w:val="00EA39ED"/>
    <w:rsid w:val="00EA4EB4"/>
    <w:rsid w:val="00EB0D2A"/>
    <w:rsid w:val="00EB3F3F"/>
    <w:rsid w:val="00EC7427"/>
    <w:rsid w:val="00EC7995"/>
    <w:rsid w:val="00ED18EA"/>
    <w:rsid w:val="00ED1F52"/>
    <w:rsid w:val="00ED30C5"/>
    <w:rsid w:val="00ED4B19"/>
    <w:rsid w:val="00EE1283"/>
    <w:rsid w:val="00EE571C"/>
    <w:rsid w:val="00EF0AD4"/>
    <w:rsid w:val="00EF2F17"/>
    <w:rsid w:val="00F0358C"/>
    <w:rsid w:val="00F07736"/>
    <w:rsid w:val="00F211DC"/>
    <w:rsid w:val="00F21838"/>
    <w:rsid w:val="00F26570"/>
    <w:rsid w:val="00F320C3"/>
    <w:rsid w:val="00F33C52"/>
    <w:rsid w:val="00F34B18"/>
    <w:rsid w:val="00F4745D"/>
    <w:rsid w:val="00F51CB3"/>
    <w:rsid w:val="00F52A90"/>
    <w:rsid w:val="00F548A2"/>
    <w:rsid w:val="00F57588"/>
    <w:rsid w:val="00F6776E"/>
    <w:rsid w:val="00F72593"/>
    <w:rsid w:val="00F822AF"/>
    <w:rsid w:val="00F84B8C"/>
    <w:rsid w:val="00F90975"/>
    <w:rsid w:val="00F94262"/>
    <w:rsid w:val="00F95A3B"/>
    <w:rsid w:val="00FA1BC1"/>
    <w:rsid w:val="00FA49A6"/>
    <w:rsid w:val="00FA4E1A"/>
    <w:rsid w:val="00FA7DCF"/>
    <w:rsid w:val="00FC1C6A"/>
    <w:rsid w:val="00FC1E96"/>
    <w:rsid w:val="00FC2DBD"/>
    <w:rsid w:val="00FC5059"/>
    <w:rsid w:val="00FC693F"/>
    <w:rsid w:val="00FD1544"/>
    <w:rsid w:val="00FD501B"/>
    <w:rsid w:val="00FD66C4"/>
    <w:rsid w:val="00FD706B"/>
    <w:rsid w:val="00FE0D8C"/>
    <w:rsid w:val="00FE58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145F48"/>
  <w14:defaultImageDpi w14:val="330"/>
  <w15:docId w15:val="{E40628AF-B58D-4875-B286-333D346C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es-CO"/>
    </w:rPr>
  </w:style>
  <w:style w:type="paragraph" w:styleId="Heading1">
    <w:name w:val="heading 1"/>
    <w:basedOn w:val="Normal"/>
    <w:next w:val="Normal"/>
    <w:link w:val="Heading1Char"/>
    <w:uiPriority w:val="9"/>
    <w:qFormat/>
    <w:rsid w:val="00FC693F"/>
    <w:pPr>
      <w:keepNext/>
      <w:keepLines/>
      <w:numPr>
        <w:numId w:val="7"/>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numPr>
        <w:ilvl w:val="1"/>
        <w:numId w:val="7"/>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numPr>
        <w:ilvl w:val="2"/>
        <w:numId w:val="7"/>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C693F"/>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C693F"/>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numPr>
        <w:ilvl w:val="7"/>
        <w:numId w:val="7"/>
      </w:numPr>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lang w:val="es-CO"/>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lang w:val="es-CO"/>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lang w:val="es-CO"/>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rsid w:val="00FC693F"/>
    <w:rPr>
      <w:rFonts w:asciiTheme="majorHAnsi" w:eastAsiaTheme="majorEastAsia" w:hAnsiTheme="majorHAnsi" w:cstheme="majorBidi"/>
      <w:b/>
      <w:bCs/>
      <w:i/>
      <w:iCs/>
      <w:color w:val="4F81BD" w:themeColor="accent1"/>
      <w:lang w:val="es-CO"/>
    </w:rPr>
  </w:style>
  <w:style w:type="character" w:customStyle="1" w:styleId="Heading5Char">
    <w:name w:val="Heading 5 Char"/>
    <w:basedOn w:val="DefaultParagraphFont"/>
    <w:link w:val="Heading5"/>
    <w:uiPriority w:val="9"/>
    <w:rsid w:val="00FC693F"/>
    <w:rPr>
      <w:rFonts w:asciiTheme="majorHAnsi" w:eastAsiaTheme="majorEastAsia" w:hAnsiTheme="majorHAnsi" w:cstheme="majorBidi"/>
      <w:color w:val="243F60" w:themeColor="accent1" w:themeShade="7F"/>
      <w:lang w:val="es-CO"/>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lang w:val="es-CO"/>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lang w:val="es-CO"/>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lang w:val="es-CO"/>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lang w:val="es-CO"/>
    </w:rPr>
  </w:style>
  <w:style w:type="paragraph" w:styleId="Caption">
    <w:name w:val="caption"/>
    <w:basedOn w:val="Normal"/>
    <w:next w:val="Normal"/>
    <w:uiPriority w:val="35"/>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efault">
    <w:name w:val="Default"/>
    <w:rsid w:val="005B25CF"/>
    <w:pPr>
      <w:autoSpaceDE w:val="0"/>
      <w:autoSpaceDN w:val="0"/>
      <w:adjustRightInd w:val="0"/>
      <w:spacing w:after="0" w:line="240" w:lineRule="auto"/>
    </w:pPr>
    <w:rPr>
      <w:rFonts w:ascii="Arial Narrow" w:hAnsi="Arial Narrow" w:cs="Arial Narrow"/>
      <w:color w:val="000000"/>
      <w:sz w:val="24"/>
      <w:szCs w:val="24"/>
      <w:lang w:val="es-ES"/>
    </w:rPr>
  </w:style>
  <w:style w:type="character" w:styleId="CommentReference">
    <w:name w:val="annotation reference"/>
    <w:basedOn w:val="DefaultParagraphFont"/>
    <w:uiPriority w:val="99"/>
    <w:semiHidden/>
    <w:unhideWhenUsed/>
    <w:rsid w:val="00C8732F"/>
    <w:rPr>
      <w:sz w:val="16"/>
      <w:szCs w:val="16"/>
    </w:rPr>
  </w:style>
  <w:style w:type="paragraph" w:styleId="CommentText">
    <w:name w:val="annotation text"/>
    <w:basedOn w:val="Normal"/>
    <w:link w:val="CommentTextChar"/>
    <w:uiPriority w:val="99"/>
    <w:unhideWhenUsed/>
    <w:rsid w:val="00C8732F"/>
    <w:pPr>
      <w:spacing w:line="240" w:lineRule="auto"/>
    </w:pPr>
    <w:rPr>
      <w:sz w:val="20"/>
      <w:szCs w:val="20"/>
    </w:rPr>
  </w:style>
  <w:style w:type="character" w:customStyle="1" w:styleId="CommentTextChar">
    <w:name w:val="Comment Text Char"/>
    <w:basedOn w:val="DefaultParagraphFont"/>
    <w:link w:val="CommentText"/>
    <w:uiPriority w:val="99"/>
    <w:rsid w:val="00C8732F"/>
    <w:rPr>
      <w:sz w:val="20"/>
      <w:szCs w:val="20"/>
      <w:lang w:val="es-CO"/>
    </w:rPr>
  </w:style>
  <w:style w:type="paragraph" w:styleId="CommentSubject">
    <w:name w:val="annotation subject"/>
    <w:basedOn w:val="CommentText"/>
    <w:next w:val="CommentText"/>
    <w:link w:val="CommentSubjectChar"/>
    <w:uiPriority w:val="99"/>
    <w:semiHidden/>
    <w:unhideWhenUsed/>
    <w:rsid w:val="00C8732F"/>
    <w:rPr>
      <w:b/>
      <w:bCs/>
    </w:rPr>
  </w:style>
  <w:style w:type="character" w:customStyle="1" w:styleId="CommentSubjectChar">
    <w:name w:val="Comment Subject Char"/>
    <w:basedOn w:val="CommentTextChar"/>
    <w:link w:val="CommentSubject"/>
    <w:uiPriority w:val="99"/>
    <w:semiHidden/>
    <w:rsid w:val="00C8732F"/>
    <w:rPr>
      <w:b/>
      <w:bCs/>
      <w:sz w:val="20"/>
      <w:szCs w:val="20"/>
      <w:lang w:val="es-CO"/>
    </w:rPr>
  </w:style>
  <w:style w:type="character" w:customStyle="1" w:styleId="bzpyqfadein">
    <w:name w:val="bz_pyq_fadein"/>
    <w:basedOn w:val="DefaultParagraphFont"/>
    <w:rsid w:val="00CA0820"/>
  </w:style>
  <w:style w:type="paragraph" w:styleId="NormalWeb">
    <w:name w:val="Normal (Web)"/>
    <w:basedOn w:val="Normal"/>
    <w:uiPriority w:val="99"/>
    <w:unhideWhenUsed/>
    <w:rsid w:val="00CA0820"/>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yperlink">
    <w:name w:val="Hyperlink"/>
    <w:basedOn w:val="DefaultParagraphFont"/>
    <w:uiPriority w:val="99"/>
    <w:unhideWhenUsed/>
    <w:rsid w:val="005E1A3F"/>
    <w:rPr>
      <w:color w:val="0000FF" w:themeColor="hyperlink"/>
      <w:u w:val="single"/>
    </w:rPr>
  </w:style>
  <w:style w:type="paragraph" w:styleId="TOC1">
    <w:name w:val="toc 1"/>
    <w:basedOn w:val="Normal"/>
    <w:next w:val="Normal"/>
    <w:autoRedefine/>
    <w:uiPriority w:val="39"/>
    <w:unhideWhenUsed/>
    <w:rsid w:val="005F34CE"/>
    <w:pPr>
      <w:spacing w:after="100"/>
    </w:pPr>
  </w:style>
  <w:style w:type="paragraph" w:styleId="TOC2">
    <w:name w:val="toc 2"/>
    <w:basedOn w:val="Normal"/>
    <w:next w:val="Normal"/>
    <w:autoRedefine/>
    <w:uiPriority w:val="39"/>
    <w:unhideWhenUsed/>
    <w:rsid w:val="005F34CE"/>
    <w:pPr>
      <w:spacing w:after="100"/>
      <w:ind w:left="220"/>
    </w:pPr>
  </w:style>
  <w:style w:type="paragraph" w:styleId="TOC3">
    <w:name w:val="toc 3"/>
    <w:basedOn w:val="Normal"/>
    <w:next w:val="Normal"/>
    <w:autoRedefine/>
    <w:uiPriority w:val="39"/>
    <w:unhideWhenUsed/>
    <w:rsid w:val="005F34CE"/>
    <w:pPr>
      <w:spacing w:after="100"/>
      <w:ind w:left="440"/>
    </w:pPr>
  </w:style>
  <w:style w:type="paragraph" w:styleId="TOC4">
    <w:name w:val="toc 4"/>
    <w:basedOn w:val="Normal"/>
    <w:next w:val="Normal"/>
    <w:autoRedefine/>
    <w:uiPriority w:val="39"/>
    <w:unhideWhenUsed/>
    <w:rsid w:val="005F34CE"/>
    <w:pPr>
      <w:spacing w:after="100"/>
      <w:ind w:left="660"/>
    </w:pPr>
  </w:style>
  <w:style w:type="paragraph" w:styleId="TOC5">
    <w:name w:val="toc 5"/>
    <w:basedOn w:val="Normal"/>
    <w:next w:val="Normal"/>
    <w:autoRedefine/>
    <w:uiPriority w:val="39"/>
    <w:unhideWhenUsed/>
    <w:rsid w:val="005F34CE"/>
    <w:pPr>
      <w:spacing w:after="100"/>
      <w:ind w:left="880"/>
    </w:pPr>
  </w:style>
  <w:style w:type="paragraph" w:styleId="TableofFigures">
    <w:name w:val="table of figures"/>
    <w:basedOn w:val="Normal"/>
    <w:next w:val="Normal"/>
    <w:uiPriority w:val="99"/>
    <w:unhideWhenUsed/>
    <w:rsid w:val="005F34CE"/>
    <w:pPr>
      <w:spacing w:after="0"/>
    </w:pPr>
  </w:style>
  <w:style w:type="character" w:styleId="LineNumber">
    <w:name w:val="line number"/>
    <w:basedOn w:val="DefaultParagraphFont"/>
    <w:uiPriority w:val="99"/>
    <w:semiHidden/>
    <w:unhideWhenUsed/>
    <w:rsid w:val="00DE18F6"/>
  </w:style>
  <w:style w:type="paragraph" w:styleId="Revision">
    <w:name w:val="Revision"/>
    <w:hidden/>
    <w:uiPriority w:val="99"/>
    <w:semiHidden/>
    <w:rsid w:val="00DE18F6"/>
    <w:pPr>
      <w:spacing w:after="0" w:line="240" w:lineRule="auto"/>
    </w:pPr>
    <w:rPr>
      <w:lang w:val="es-CO"/>
    </w:rPr>
  </w:style>
  <w:style w:type="character" w:customStyle="1" w:styleId="whitespace-normal">
    <w:name w:val="whitespace-normal"/>
    <w:basedOn w:val="DefaultParagraphFont"/>
    <w:rsid w:val="004161BE"/>
  </w:style>
  <w:style w:type="paragraph" w:styleId="Bibliography">
    <w:name w:val="Bibliography"/>
    <w:basedOn w:val="Normal"/>
    <w:next w:val="Normal"/>
    <w:uiPriority w:val="37"/>
    <w:unhideWhenUsed/>
    <w:rsid w:val="004161BE"/>
  </w:style>
  <w:style w:type="character" w:styleId="UnresolvedMention">
    <w:name w:val="Unresolved Mention"/>
    <w:basedOn w:val="DefaultParagraphFont"/>
    <w:uiPriority w:val="99"/>
    <w:semiHidden/>
    <w:unhideWhenUsed/>
    <w:rsid w:val="00127C8F"/>
    <w:rPr>
      <w:color w:val="605E5C"/>
      <w:shd w:val="clear" w:color="auto" w:fill="E1DFDD"/>
    </w:rPr>
  </w:style>
  <w:style w:type="character" w:styleId="FollowedHyperlink">
    <w:name w:val="FollowedHyperlink"/>
    <w:basedOn w:val="DefaultParagraphFont"/>
    <w:uiPriority w:val="99"/>
    <w:semiHidden/>
    <w:unhideWhenUsed/>
    <w:rsid w:val="009D00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057770">
      <w:bodyDiv w:val="1"/>
      <w:marLeft w:val="0"/>
      <w:marRight w:val="0"/>
      <w:marTop w:val="0"/>
      <w:marBottom w:val="0"/>
      <w:divBdr>
        <w:top w:val="none" w:sz="0" w:space="0" w:color="auto"/>
        <w:left w:val="none" w:sz="0" w:space="0" w:color="auto"/>
        <w:bottom w:val="none" w:sz="0" w:space="0" w:color="auto"/>
        <w:right w:val="none" w:sz="0" w:space="0" w:color="auto"/>
      </w:divBdr>
    </w:div>
    <w:div w:id="471750926">
      <w:bodyDiv w:val="1"/>
      <w:marLeft w:val="0"/>
      <w:marRight w:val="0"/>
      <w:marTop w:val="0"/>
      <w:marBottom w:val="0"/>
      <w:divBdr>
        <w:top w:val="none" w:sz="0" w:space="0" w:color="auto"/>
        <w:left w:val="none" w:sz="0" w:space="0" w:color="auto"/>
        <w:bottom w:val="none" w:sz="0" w:space="0" w:color="auto"/>
        <w:right w:val="none" w:sz="0" w:space="0" w:color="auto"/>
      </w:divBdr>
    </w:div>
    <w:div w:id="1623413634">
      <w:bodyDiv w:val="1"/>
      <w:marLeft w:val="0"/>
      <w:marRight w:val="0"/>
      <w:marTop w:val="0"/>
      <w:marBottom w:val="0"/>
      <w:divBdr>
        <w:top w:val="none" w:sz="0" w:space="0" w:color="auto"/>
        <w:left w:val="none" w:sz="0" w:space="0" w:color="auto"/>
        <w:bottom w:val="none" w:sz="0" w:space="0" w:color="auto"/>
        <w:right w:val="none" w:sz="0" w:space="0" w:color="auto"/>
      </w:divBdr>
      <w:divsChild>
        <w:div w:id="1197619750">
          <w:marLeft w:val="0"/>
          <w:marRight w:val="0"/>
          <w:marTop w:val="0"/>
          <w:marBottom w:val="0"/>
          <w:divBdr>
            <w:top w:val="none" w:sz="0" w:space="0" w:color="auto"/>
            <w:left w:val="none" w:sz="0" w:space="0" w:color="auto"/>
            <w:bottom w:val="none" w:sz="0" w:space="0" w:color="auto"/>
            <w:right w:val="none" w:sz="0" w:space="0" w:color="auto"/>
          </w:divBdr>
          <w:divsChild>
            <w:div w:id="1389302987">
              <w:marLeft w:val="0"/>
              <w:marRight w:val="0"/>
              <w:marTop w:val="0"/>
              <w:marBottom w:val="0"/>
              <w:divBdr>
                <w:top w:val="none" w:sz="0" w:space="0" w:color="auto"/>
                <w:left w:val="none" w:sz="0" w:space="0" w:color="auto"/>
                <w:bottom w:val="none" w:sz="0" w:space="0" w:color="auto"/>
                <w:right w:val="none" w:sz="0" w:space="0" w:color="auto"/>
              </w:divBdr>
              <w:divsChild>
                <w:div w:id="136598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977205">
          <w:marLeft w:val="0"/>
          <w:marRight w:val="0"/>
          <w:marTop w:val="0"/>
          <w:marBottom w:val="0"/>
          <w:divBdr>
            <w:top w:val="none" w:sz="0" w:space="0" w:color="auto"/>
            <w:left w:val="none" w:sz="0" w:space="0" w:color="auto"/>
            <w:bottom w:val="none" w:sz="0" w:space="0" w:color="auto"/>
            <w:right w:val="none" w:sz="0" w:space="0" w:color="auto"/>
          </w:divBdr>
          <w:divsChild>
            <w:div w:id="1289237196">
              <w:marLeft w:val="0"/>
              <w:marRight w:val="0"/>
              <w:marTop w:val="0"/>
              <w:marBottom w:val="0"/>
              <w:divBdr>
                <w:top w:val="none" w:sz="0" w:space="0" w:color="auto"/>
                <w:left w:val="none" w:sz="0" w:space="0" w:color="auto"/>
                <w:bottom w:val="none" w:sz="0" w:space="0" w:color="auto"/>
                <w:right w:val="none" w:sz="0" w:space="0" w:color="auto"/>
              </w:divBdr>
              <w:divsChild>
                <w:div w:id="166589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560717">
          <w:marLeft w:val="0"/>
          <w:marRight w:val="0"/>
          <w:marTop w:val="0"/>
          <w:marBottom w:val="0"/>
          <w:divBdr>
            <w:top w:val="none" w:sz="0" w:space="0" w:color="auto"/>
            <w:left w:val="none" w:sz="0" w:space="0" w:color="auto"/>
            <w:bottom w:val="none" w:sz="0" w:space="0" w:color="auto"/>
            <w:right w:val="none" w:sz="0" w:space="0" w:color="auto"/>
          </w:divBdr>
          <w:divsChild>
            <w:div w:id="976960312">
              <w:marLeft w:val="0"/>
              <w:marRight w:val="0"/>
              <w:marTop w:val="0"/>
              <w:marBottom w:val="0"/>
              <w:divBdr>
                <w:top w:val="none" w:sz="0" w:space="0" w:color="auto"/>
                <w:left w:val="none" w:sz="0" w:space="0" w:color="auto"/>
                <w:bottom w:val="none" w:sz="0" w:space="0" w:color="auto"/>
                <w:right w:val="none" w:sz="0" w:space="0" w:color="auto"/>
              </w:divBdr>
              <w:divsChild>
                <w:div w:id="20633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485883">
          <w:marLeft w:val="0"/>
          <w:marRight w:val="0"/>
          <w:marTop w:val="0"/>
          <w:marBottom w:val="0"/>
          <w:divBdr>
            <w:top w:val="none" w:sz="0" w:space="0" w:color="auto"/>
            <w:left w:val="none" w:sz="0" w:space="0" w:color="auto"/>
            <w:bottom w:val="none" w:sz="0" w:space="0" w:color="auto"/>
            <w:right w:val="none" w:sz="0" w:space="0" w:color="auto"/>
          </w:divBdr>
          <w:divsChild>
            <w:div w:id="1376273382">
              <w:marLeft w:val="0"/>
              <w:marRight w:val="0"/>
              <w:marTop w:val="0"/>
              <w:marBottom w:val="0"/>
              <w:divBdr>
                <w:top w:val="none" w:sz="0" w:space="0" w:color="auto"/>
                <w:left w:val="none" w:sz="0" w:space="0" w:color="auto"/>
                <w:bottom w:val="none" w:sz="0" w:space="0" w:color="auto"/>
                <w:right w:val="none" w:sz="0" w:space="0" w:color="auto"/>
              </w:divBdr>
              <w:divsChild>
                <w:div w:id="23293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690712">
          <w:marLeft w:val="0"/>
          <w:marRight w:val="0"/>
          <w:marTop w:val="0"/>
          <w:marBottom w:val="0"/>
          <w:divBdr>
            <w:top w:val="none" w:sz="0" w:space="0" w:color="auto"/>
            <w:left w:val="none" w:sz="0" w:space="0" w:color="auto"/>
            <w:bottom w:val="none" w:sz="0" w:space="0" w:color="auto"/>
            <w:right w:val="none" w:sz="0" w:space="0" w:color="auto"/>
          </w:divBdr>
          <w:divsChild>
            <w:div w:id="1055659506">
              <w:marLeft w:val="0"/>
              <w:marRight w:val="0"/>
              <w:marTop w:val="0"/>
              <w:marBottom w:val="0"/>
              <w:divBdr>
                <w:top w:val="none" w:sz="0" w:space="0" w:color="auto"/>
                <w:left w:val="none" w:sz="0" w:space="0" w:color="auto"/>
                <w:bottom w:val="none" w:sz="0" w:space="0" w:color="auto"/>
                <w:right w:val="none" w:sz="0" w:space="0" w:color="auto"/>
              </w:divBdr>
              <w:divsChild>
                <w:div w:id="149503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886845">
          <w:marLeft w:val="0"/>
          <w:marRight w:val="0"/>
          <w:marTop w:val="0"/>
          <w:marBottom w:val="0"/>
          <w:divBdr>
            <w:top w:val="none" w:sz="0" w:space="0" w:color="auto"/>
            <w:left w:val="none" w:sz="0" w:space="0" w:color="auto"/>
            <w:bottom w:val="none" w:sz="0" w:space="0" w:color="auto"/>
            <w:right w:val="none" w:sz="0" w:space="0" w:color="auto"/>
          </w:divBdr>
          <w:divsChild>
            <w:div w:id="1700354651">
              <w:marLeft w:val="0"/>
              <w:marRight w:val="0"/>
              <w:marTop w:val="0"/>
              <w:marBottom w:val="0"/>
              <w:divBdr>
                <w:top w:val="none" w:sz="0" w:space="0" w:color="auto"/>
                <w:left w:val="none" w:sz="0" w:space="0" w:color="auto"/>
                <w:bottom w:val="none" w:sz="0" w:space="0" w:color="auto"/>
                <w:right w:val="none" w:sz="0" w:space="0" w:color="auto"/>
              </w:divBdr>
              <w:divsChild>
                <w:div w:id="5346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88941">
          <w:marLeft w:val="0"/>
          <w:marRight w:val="0"/>
          <w:marTop w:val="0"/>
          <w:marBottom w:val="0"/>
          <w:divBdr>
            <w:top w:val="none" w:sz="0" w:space="0" w:color="auto"/>
            <w:left w:val="none" w:sz="0" w:space="0" w:color="auto"/>
            <w:bottom w:val="none" w:sz="0" w:space="0" w:color="auto"/>
            <w:right w:val="none" w:sz="0" w:space="0" w:color="auto"/>
          </w:divBdr>
          <w:divsChild>
            <w:div w:id="995307783">
              <w:marLeft w:val="0"/>
              <w:marRight w:val="0"/>
              <w:marTop w:val="0"/>
              <w:marBottom w:val="0"/>
              <w:divBdr>
                <w:top w:val="none" w:sz="0" w:space="0" w:color="auto"/>
                <w:left w:val="none" w:sz="0" w:space="0" w:color="auto"/>
                <w:bottom w:val="none" w:sz="0" w:space="0" w:color="auto"/>
                <w:right w:val="none" w:sz="0" w:space="0" w:color="auto"/>
              </w:divBdr>
              <w:divsChild>
                <w:div w:id="13606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89898">
          <w:marLeft w:val="0"/>
          <w:marRight w:val="0"/>
          <w:marTop w:val="0"/>
          <w:marBottom w:val="0"/>
          <w:divBdr>
            <w:top w:val="none" w:sz="0" w:space="0" w:color="auto"/>
            <w:left w:val="none" w:sz="0" w:space="0" w:color="auto"/>
            <w:bottom w:val="none" w:sz="0" w:space="0" w:color="auto"/>
            <w:right w:val="none" w:sz="0" w:space="0" w:color="auto"/>
          </w:divBdr>
          <w:divsChild>
            <w:div w:id="1112288766">
              <w:marLeft w:val="0"/>
              <w:marRight w:val="0"/>
              <w:marTop w:val="0"/>
              <w:marBottom w:val="0"/>
              <w:divBdr>
                <w:top w:val="none" w:sz="0" w:space="0" w:color="auto"/>
                <w:left w:val="none" w:sz="0" w:space="0" w:color="auto"/>
                <w:bottom w:val="none" w:sz="0" w:space="0" w:color="auto"/>
                <w:right w:val="none" w:sz="0" w:space="0" w:color="auto"/>
              </w:divBdr>
              <w:divsChild>
                <w:div w:id="64516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377712">
          <w:marLeft w:val="0"/>
          <w:marRight w:val="0"/>
          <w:marTop w:val="0"/>
          <w:marBottom w:val="0"/>
          <w:divBdr>
            <w:top w:val="none" w:sz="0" w:space="0" w:color="auto"/>
            <w:left w:val="none" w:sz="0" w:space="0" w:color="auto"/>
            <w:bottom w:val="none" w:sz="0" w:space="0" w:color="auto"/>
            <w:right w:val="none" w:sz="0" w:space="0" w:color="auto"/>
          </w:divBdr>
          <w:divsChild>
            <w:div w:id="903292983">
              <w:marLeft w:val="0"/>
              <w:marRight w:val="0"/>
              <w:marTop w:val="0"/>
              <w:marBottom w:val="0"/>
              <w:divBdr>
                <w:top w:val="none" w:sz="0" w:space="0" w:color="auto"/>
                <w:left w:val="none" w:sz="0" w:space="0" w:color="auto"/>
                <w:bottom w:val="none" w:sz="0" w:space="0" w:color="auto"/>
                <w:right w:val="none" w:sz="0" w:space="0" w:color="auto"/>
              </w:divBdr>
              <w:divsChild>
                <w:div w:id="1596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503702">
          <w:marLeft w:val="0"/>
          <w:marRight w:val="0"/>
          <w:marTop w:val="0"/>
          <w:marBottom w:val="0"/>
          <w:divBdr>
            <w:top w:val="none" w:sz="0" w:space="0" w:color="auto"/>
            <w:left w:val="none" w:sz="0" w:space="0" w:color="auto"/>
            <w:bottom w:val="none" w:sz="0" w:space="0" w:color="auto"/>
            <w:right w:val="none" w:sz="0" w:space="0" w:color="auto"/>
          </w:divBdr>
          <w:divsChild>
            <w:div w:id="375131397">
              <w:marLeft w:val="0"/>
              <w:marRight w:val="0"/>
              <w:marTop w:val="0"/>
              <w:marBottom w:val="0"/>
              <w:divBdr>
                <w:top w:val="none" w:sz="0" w:space="0" w:color="auto"/>
                <w:left w:val="none" w:sz="0" w:space="0" w:color="auto"/>
                <w:bottom w:val="none" w:sz="0" w:space="0" w:color="auto"/>
                <w:right w:val="none" w:sz="0" w:space="0" w:color="auto"/>
              </w:divBdr>
              <w:divsChild>
                <w:div w:id="99434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707955">
          <w:marLeft w:val="0"/>
          <w:marRight w:val="0"/>
          <w:marTop w:val="0"/>
          <w:marBottom w:val="0"/>
          <w:divBdr>
            <w:top w:val="none" w:sz="0" w:space="0" w:color="auto"/>
            <w:left w:val="none" w:sz="0" w:space="0" w:color="auto"/>
            <w:bottom w:val="none" w:sz="0" w:space="0" w:color="auto"/>
            <w:right w:val="none" w:sz="0" w:space="0" w:color="auto"/>
          </w:divBdr>
          <w:divsChild>
            <w:div w:id="883177071">
              <w:marLeft w:val="0"/>
              <w:marRight w:val="0"/>
              <w:marTop w:val="0"/>
              <w:marBottom w:val="0"/>
              <w:divBdr>
                <w:top w:val="none" w:sz="0" w:space="0" w:color="auto"/>
                <w:left w:val="none" w:sz="0" w:space="0" w:color="auto"/>
                <w:bottom w:val="none" w:sz="0" w:space="0" w:color="auto"/>
                <w:right w:val="none" w:sz="0" w:space="0" w:color="auto"/>
              </w:divBdr>
              <w:divsChild>
                <w:div w:id="178900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787343">
          <w:marLeft w:val="0"/>
          <w:marRight w:val="0"/>
          <w:marTop w:val="0"/>
          <w:marBottom w:val="0"/>
          <w:divBdr>
            <w:top w:val="none" w:sz="0" w:space="0" w:color="auto"/>
            <w:left w:val="none" w:sz="0" w:space="0" w:color="auto"/>
            <w:bottom w:val="none" w:sz="0" w:space="0" w:color="auto"/>
            <w:right w:val="none" w:sz="0" w:space="0" w:color="auto"/>
          </w:divBdr>
          <w:divsChild>
            <w:div w:id="648899812">
              <w:marLeft w:val="0"/>
              <w:marRight w:val="0"/>
              <w:marTop w:val="0"/>
              <w:marBottom w:val="0"/>
              <w:divBdr>
                <w:top w:val="none" w:sz="0" w:space="0" w:color="auto"/>
                <w:left w:val="none" w:sz="0" w:space="0" w:color="auto"/>
                <w:bottom w:val="none" w:sz="0" w:space="0" w:color="auto"/>
                <w:right w:val="none" w:sz="0" w:space="0" w:color="auto"/>
              </w:divBdr>
              <w:divsChild>
                <w:div w:id="52757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554460">
      <w:bodyDiv w:val="1"/>
      <w:marLeft w:val="0"/>
      <w:marRight w:val="0"/>
      <w:marTop w:val="0"/>
      <w:marBottom w:val="0"/>
      <w:divBdr>
        <w:top w:val="none" w:sz="0" w:space="0" w:color="auto"/>
        <w:left w:val="none" w:sz="0" w:space="0" w:color="auto"/>
        <w:bottom w:val="none" w:sz="0" w:space="0" w:color="auto"/>
        <w:right w:val="none" w:sz="0" w:space="0" w:color="auto"/>
      </w:divBdr>
    </w:div>
    <w:div w:id="1962805550">
      <w:bodyDiv w:val="1"/>
      <w:marLeft w:val="0"/>
      <w:marRight w:val="0"/>
      <w:marTop w:val="0"/>
      <w:marBottom w:val="0"/>
      <w:divBdr>
        <w:top w:val="none" w:sz="0" w:space="0" w:color="auto"/>
        <w:left w:val="none" w:sz="0" w:space="0" w:color="auto"/>
        <w:bottom w:val="none" w:sz="0" w:space="0" w:color="auto"/>
        <w:right w:val="none" w:sz="0" w:space="0" w:color="auto"/>
      </w:divBdr>
      <w:divsChild>
        <w:div w:id="10455239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image" Target="media/image6.png"/><Relationship Id="rId26"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chart" Target="charts/chart4.xml"/><Relationship Id="rId7" Type="http://schemas.microsoft.com/office/2011/relationships/commentsExtended" Target="commentsExtended.xml"/><Relationship Id="rId12" Type="http://schemas.openxmlformats.org/officeDocument/2006/relationships/chart" Target="charts/chart1.xml"/><Relationship Id="rId17" Type="http://schemas.openxmlformats.org/officeDocument/2006/relationships/image" Target="media/image5.png"/><Relationship Id="rId25" Type="http://schemas.openxmlformats.org/officeDocument/2006/relationships/chart" Target="charts/chart7.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chart" Target="charts/chart3.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hyperlink" Target="https://ecmarketplacelatam.com/?utm_source=chatgpt.com" TargetMode="External"/><Relationship Id="rId24" Type="http://schemas.openxmlformats.org/officeDocument/2006/relationships/chart" Target="charts/chart6.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8.png"/><Relationship Id="rId28" Type="http://schemas.microsoft.com/office/2014/relationships/chartEx" Target="charts/chartEx1.xml"/><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 Id="rId14" Type="http://schemas.openxmlformats.org/officeDocument/2006/relationships/image" Target="media/image2.png"/><Relationship Id="rId22" Type="http://schemas.openxmlformats.org/officeDocument/2006/relationships/chart" Target="charts/chart5.xml"/><Relationship Id="rId27" Type="http://schemas.openxmlformats.org/officeDocument/2006/relationships/image" Target="media/image9.png"/><Relationship Id="rId30" Type="http://schemas.openxmlformats.org/officeDocument/2006/relationships/hyperlink" Target="https://www.oecd.org/content/dam/oecd/es/publications/reports/2021/03/applying-evaluation-criteria-thoughtfully_45a54ea7/d1ee36bb-es.pdf" TargetMode="External"/><Relationship Id="rId8" Type="http://schemas.microsoft.com/office/2016/09/relationships/commentsIds" Target="commentsIds.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dorn_\OneDrive\Documents\Laboral\SDA_Plataforma_Circular\Fase%203\Encuesta_Datos_Limpio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SDA\Encuesta_Datos_Limpio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d.docs.live.net/f1cf7a1d48a3b49f/Documents/Laboral/SDA_Plataforma_Circular/Fase%203/Encuesta_Datos_Limpios_Indirecto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d.docs.live.net/f1cf7a1d48a3b49f/Documents/Laboral/SDA_Plataforma_Circular/Fase%203/Encuesta_Datos_Limpios_Indirecto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d.docs.live.net/f1cf7a1d48a3b49f/Documents/Laboral/SDA_Plataforma_Circular/Fase%203/Encuesta_Datos_Limpios_Indirecto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d.docs.live.net/f1cf7a1d48a3b49f/Documents/Laboral/SDA_Plataforma_Circular/Fase%203/Encuesta_Datos_Limpios_Indirecto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d.docs.live.net/f1cf7a1d48a3b49f/Documents/Laboral/SDA_Plataforma_Circular/Fase%203/Encuesta_Datos_Limpios_Indirectos.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d.docs.live.net/f1cf7a1d48a3b49f/Documents/Laboral/SDA_Plataforma_Circular/Fase%203/Encuesta_Datos_Limpios_Indirectos.xlsx" TargetMode="External"/><Relationship Id="rId2" Type="http://schemas.microsoft.com/office/2011/relationships/chartColorStyle" Target="colors8.xml"/><Relationship Id="rId1" Type="http://schemas.microsoft.com/office/2011/relationships/chartStyle" Target="style8.xml"/></Relationships>
</file>

<file path=word/charts/_rels/chartEx1.xml.rels><?xml version="1.0" encoding="UTF-8" standalone="yes"?>
<Relationships xmlns="http://schemas.openxmlformats.org/package/2006/relationships"><Relationship Id="rId3" Type="http://schemas.microsoft.com/office/2011/relationships/chartColorStyle" Target="colors9.xml"/><Relationship Id="rId2" Type="http://schemas.microsoft.com/office/2011/relationships/chartStyle" Target="style9.xml"/><Relationship Id="rId1" Type="http://schemas.openxmlformats.org/officeDocument/2006/relationships/oleObject" Target="file:///C:\Users\dorn_\OneDrive\Documents\Laboral\SDA_Plataforma_Circular\Fase%203\Encuesta_Datos_Limpio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Análisis_Descriptivo!$C$1</c:f>
              <c:strCache>
                <c:ptCount val="1"/>
                <c:pt idx="0">
                  <c:v>Beneficiarios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Análisis_Descriptivo!$A$2:$B$10</c:f>
              <c:multiLvlStrCache>
                <c:ptCount val="9"/>
                <c:lvl>
                  <c:pt idx="0">
                    <c:v>Textil</c:v>
                  </c:pt>
                  <c:pt idx="1">
                    <c:v>Plásticos</c:v>
                  </c:pt>
                  <c:pt idx="2">
                    <c:v>Alimentos/Orgánicos</c:v>
                  </c:pt>
                  <c:pt idx="3">
                    <c:v>Sostenibilidad </c:v>
                  </c:pt>
                  <c:pt idx="4">
                    <c:v>Tecnología</c:v>
                  </c:pt>
                  <c:pt idx="5">
                    <c:v>Artes graficas</c:v>
                  </c:pt>
                  <c:pt idx="6">
                    <c:v>servicos</c:v>
                  </c:pt>
                  <c:pt idx="7">
                    <c:v>Plásticos</c:v>
                  </c:pt>
                  <c:pt idx="8">
                    <c:v>Textil</c:v>
                  </c:pt>
                </c:lvl>
                <c:lvl>
                  <c:pt idx="0">
                    <c:v>Bogotá, D.C</c:v>
                  </c:pt>
                  <c:pt idx="7">
                    <c:v>Quito</c:v>
                  </c:pt>
                  <c:pt idx="8">
                    <c:v>Santiago de Chile</c:v>
                  </c:pt>
                </c:lvl>
              </c:multiLvlStrCache>
            </c:multiLvlStrRef>
          </c:cat>
          <c:val>
            <c:numRef>
              <c:f>Análisis_Descriptivo!$C$2:$C$10</c:f>
              <c:numCache>
                <c:formatCode>General</c:formatCode>
                <c:ptCount val="9"/>
                <c:pt idx="0">
                  <c:v>7</c:v>
                </c:pt>
                <c:pt idx="1">
                  <c:v>4</c:v>
                </c:pt>
                <c:pt idx="2">
                  <c:v>2</c:v>
                </c:pt>
                <c:pt idx="3">
                  <c:v>2</c:v>
                </c:pt>
                <c:pt idx="4">
                  <c:v>2</c:v>
                </c:pt>
                <c:pt idx="5">
                  <c:v>1</c:v>
                </c:pt>
                <c:pt idx="6">
                  <c:v>1</c:v>
                </c:pt>
                <c:pt idx="7">
                  <c:v>1</c:v>
                </c:pt>
                <c:pt idx="8">
                  <c:v>1</c:v>
                </c:pt>
              </c:numCache>
            </c:numRef>
          </c:val>
          <c:extLst>
            <c:ext xmlns:c16="http://schemas.microsoft.com/office/drawing/2014/chart" uri="{C3380CC4-5D6E-409C-BE32-E72D297353CC}">
              <c16:uniqueId val="{00000000-6DE4-4FFF-9185-55597F837DCB}"/>
            </c:ext>
          </c:extLst>
        </c:ser>
        <c:dLbls>
          <c:showLegendKey val="0"/>
          <c:showVal val="0"/>
          <c:showCatName val="0"/>
          <c:showSerName val="0"/>
          <c:showPercent val="0"/>
          <c:showBubbleSize val="0"/>
        </c:dLbls>
        <c:gapWidth val="150"/>
        <c:axId val="519721104"/>
        <c:axId val="519718224"/>
      </c:barChart>
      <c:lineChart>
        <c:grouping val="standard"/>
        <c:varyColors val="0"/>
        <c:ser>
          <c:idx val="1"/>
          <c:order val="1"/>
          <c:tx>
            <c:strRef>
              <c:f>Análisis_Descriptivo!$D$1</c:f>
              <c:strCache>
                <c:ptCount val="1"/>
                <c:pt idx="0">
                  <c:v>%</c:v>
                </c:pt>
              </c:strCache>
            </c:strRef>
          </c:tx>
          <c:spPr>
            <a:ln w="28575" cap="rnd">
              <a:solidFill>
                <a:schemeClr val="accent2"/>
              </a:solidFill>
              <a:round/>
            </a:ln>
            <a:effectLst/>
          </c:spPr>
          <c:marker>
            <c:symbol val="none"/>
          </c:marker>
          <c:dLbls>
            <c:dLbl>
              <c:idx val="2"/>
              <c:layout>
                <c:manualLayout>
                  <c:x val="-4.365028939892569E-17"/>
                  <c:y val="-3.92681783275635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DE4-4FFF-9185-55597F837DCB}"/>
                </c:ext>
              </c:extLst>
            </c:dLbl>
            <c:dLbl>
              <c:idx val="3"/>
              <c:layout>
                <c:manualLayout>
                  <c:x val="-7.1428571428572302E-3"/>
                  <c:y val="-4.99776815078081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DE4-4FFF-9185-55597F837DCB}"/>
                </c:ext>
              </c:extLst>
            </c:dLbl>
            <c:dLbl>
              <c:idx val="4"/>
              <c:layout>
                <c:manualLayout>
                  <c:x val="-1.4285714285714374E-2"/>
                  <c:y val="-4.283801272097836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DE4-4FFF-9185-55597F837DCB}"/>
                </c:ext>
              </c:extLst>
            </c:dLbl>
            <c:dLbl>
              <c:idx val="5"/>
              <c:layout>
                <c:manualLayout>
                  <c:x val="-9.5238095238095247E-3"/>
                  <c:y val="-6.42570190814675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DE4-4FFF-9185-55597F837DCB}"/>
                </c:ext>
              </c:extLst>
            </c:dLbl>
            <c:dLbl>
              <c:idx val="6"/>
              <c:layout>
                <c:manualLayout>
                  <c:x val="-7.1428571428572302E-3"/>
                  <c:y val="-6.42570190814675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DE4-4FFF-9185-55597F837DCB}"/>
                </c:ext>
              </c:extLst>
            </c:dLbl>
            <c:dLbl>
              <c:idx val="7"/>
              <c:layout>
                <c:manualLayout>
                  <c:x val="-2.1428571428571429E-2"/>
                  <c:y val="-6.068718468805268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DE4-4FFF-9185-55597F837DCB}"/>
                </c:ext>
              </c:extLst>
            </c:dLbl>
            <c:dLbl>
              <c:idx val="8"/>
              <c:layout>
                <c:manualLayout>
                  <c:x val="-2.6190476190476365E-2"/>
                  <c:y val="-6.42570190814675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DE4-4FFF-9185-55597F837DC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Análisis_Descriptivo!$A$2:$B$10</c:f>
              <c:multiLvlStrCache>
                <c:ptCount val="9"/>
                <c:lvl>
                  <c:pt idx="0">
                    <c:v>Textil</c:v>
                  </c:pt>
                  <c:pt idx="1">
                    <c:v>Plásticos</c:v>
                  </c:pt>
                  <c:pt idx="2">
                    <c:v>Alimentos/Orgánicos</c:v>
                  </c:pt>
                  <c:pt idx="3">
                    <c:v>Sostenibilidad </c:v>
                  </c:pt>
                  <c:pt idx="4">
                    <c:v>Tecnología</c:v>
                  </c:pt>
                  <c:pt idx="5">
                    <c:v>Artes graficas</c:v>
                  </c:pt>
                  <c:pt idx="6">
                    <c:v>servicos</c:v>
                  </c:pt>
                  <c:pt idx="7">
                    <c:v>Plásticos</c:v>
                  </c:pt>
                  <c:pt idx="8">
                    <c:v>Textil</c:v>
                  </c:pt>
                </c:lvl>
                <c:lvl>
                  <c:pt idx="0">
                    <c:v>Bogotá, D.C</c:v>
                  </c:pt>
                  <c:pt idx="7">
                    <c:v>Quito</c:v>
                  </c:pt>
                  <c:pt idx="8">
                    <c:v>Santiago de Chile</c:v>
                  </c:pt>
                </c:lvl>
              </c:multiLvlStrCache>
            </c:multiLvlStrRef>
          </c:cat>
          <c:val>
            <c:numRef>
              <c:f>Análisis_Descriptivo!$D$2:$D$10</c:f>
              <c:numCache>
                <c:formatCode>0.0</c:formatCode>
                <c:ptCount val="9"/>
                <c:pt idx="0">
                  <c:v>33.333333333333329</c:v>
                </c:pt>
                <c:pt idx="1">
                  <c:v>19.047619047619047</c:v>
                </c:pt>
                <c:pt idx="2">
                  <c:v>9.5238095238095237</c:v>
                </c:pt>
                <c:pt idx="3">
                  <c:v>9.5238095238095237</c:v>
                </c:pt>
                <c:pt idx="4">
                  <c:v>9.5238095238095237</c:v>
                </c:pt>
                <c:pt idx="5">
                  <c:v>4.7619047619047619</c:v>
                </c:pt>
                <c:pt idx="6">
                  <c:v>4.7619047619047619</c:v>
                </c:pt>
                <c:pt idx="7">
                  <c:v>4.7619047619047619</c:v>
                </c:pt>
                <c:pt idx="8">
                  <c:v>4.7619047619047619</c:v>
                </c:pt>
              </c:numCache>
            </c:numRef>
          </c:val>
          <c:smooth val="0"/>
          <c:extLst>
            <c:ext xmlns:c16="http://schemas.microsoft.com/office/drawing/2014/chart" uri="{C3380CC4-5D6E-409C-BE32-E72D297353CC}">
              <c16:uniqueId val="{00000008-6DE4-4FFF-9185-55597F837DCB}"/>
            </c:ext>
          </c:extLst>
        </c:ser>
        <c:dLbls>
          <c:showLegendKey val="0"/>
          <c:showVal val="0"/>
          <c:showCatName val="0"/>
          <c:showSerName val="0"/>
          <c:showPercent val="0"/>
          <c:showBubbleSize val="0"/>
        </c:dLbls>
        <c:marker val="1"/>
        <c:smooth val="0"/>
        <c:axId val="519721104"/>
        <c:axId val="519718224"/>
      </c:lineChart>
      <c:catAx>
        <c:axId val="5197211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CO"/>
                  <a:t>Sector/Ciudad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CO"/>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519718224"/>
        <c:crosses val="autoZero"/>
        <c:auto val="1"/>
        <c:lblAlgn val="ctr"/>
        <c:lblOffset val="100"/>
        <c:noMultiLvlLbl val="0"/>
      </c:catAx>
      <c:valAx>
        <c:axId val="5197182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CO"/>
                  <a:t>Beneficiarios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CO"/>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519721104"/>
        <c:crosses val="autoZero"/>
        <c:crossBetween val="between"/>
      </c:valAx>
      <c:spPr>
        <a:noFill/>
        <a:ln>
          <a:noFill/>
        </a:ln>
        <a:effectLst/>
      </c:spPr>
    </c:plotArea>
    <c:legend>
      <c:legendPos val="t"/>
      <c:legendEntry>
        <c:idx val="0"/>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Análisis_Descriptivo!$B$20</c:f>
              <c:strCache>
                <c:ptCount val="1"/>
                <c:pt idx="0">
                  <c:v>Beneficiario</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E65-4943-BB83-6DBEBCDF840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E65-4943-BB83-6DBEBCDF840D}"/>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6E65-4943-BB83-6DBEBCDF840D}"/>
              </c:ext>
            </c:extLst>
          </c:dPt>
          <c:dLbls>
            <c:spPr>
              <a:noFill/>
              <a:ln>
                <a:noFill/>
              </a:ln>
              <a:effectLst/>
            </c:spPr>
            <c:txPr>
              <a:bodyPr rot="0" spcFirstLastPara="1" vertOverflow="ellipsis" vert="horz" wrap="square" lIns="38100" tIns="19050" rIns="38100" bIns="19050" anchor="ctr" anchorCtr="1">
                <a:spAutoFit/>
              </a:bodyPr>
              <a:lstStyle/>
              <a:p>
                <a:pPr>
                  <a:defRPr sz="1400" b="1"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Análisis_Descriptivo!$A$21:$A$23</c:f>
              <c:strCache>
                <c:ptCount val="3"/>
                <c:pt idx="0">
                  <c:v>Ambas</c:v>
                </c:pt>
                <c:pt idx="1">
                  <c:v>Comprador</c:v>
                </c:pt>
                <c:pt idx="2">
                  <c:v>Vendedor</c:v>
                </c:pt>
              </c:strCache>
            </c:strRef>
          </c:cat>
          <c:val>
            <c:numRef>
              <c:f>Análisis_Descriptivo!$B$21:$B$23</c:f>
              <c:numCache>
                <c:formatCode>General</c:formatCode>
                <c:ptCount val="3"/>
                <c:pt idx="0">
                  <c:v>10</c:v>
                </c:pt>
                <c:pt idx="1">
                  <c:v>4</c:v>
                </c:pt>
                <c:pt idx="2">
                  <c:v>7</c:v>
                </c:pt>
              </c:numCache>
            </c:numRef>
          </c:val>
          <c:extLst>
            <c:ext xmlns:c16="http://schemas.microsoft.com/office/drawing/2014/chart" uri="{C3380CC4-5D6E-409C-BE32-E72D297353CC}">
              <c16:uniqueId val="{00000006-6E65-4943-BB83-6DBEBCDF840D}"/>
            </c:ext>
          </c:extLst>
        </c:ser>
        <c:dLbls>
          <c:showLegendKey val="0"/>
          <c:showVal val="0"/>
          <c:showCatName val="0"/>
          <c:showSerName val="0"/>
          <c:showPercent val="0"/>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257-40C5-A172-0F100D6CF84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257-40C5-A172-0F100D6CF84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1257-40C5-A172-0F100D6CF842}"/>
              </c:ext>
            </c:extLst>
          </c:dPt>
          <c:dLbls>
            <c:dLbl>
              <c:idx val="0"/>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257-40C5-A172-0F100D6CF842}"/>
                </c:ext>
              </c:extLst>
            </c:dLbl>
            <c:dLbl>
              <c:idx val="1"/>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257-40C5-A172-0F100D6CF842}"/>
                </c:ext>
              </c:extLst>
            </c:dLbl>
            <c:dLbl>
              <c:idx val="2"/>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257-40C5-A172-0F100D6CF842}"/>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s>
          <c:cat>
            <c:strRef>
              <c:f>Hoja1!$A$33:$A$35</c:f>
              <c:strCache>
                <c:ptCount val="3"/>
                <c:pt idx="0">
                  <c:v>Bogotá</c:v>
                </c:pt>
                <c:pt idx="1">
                  <c:v>Otra</c:v>
                </c:pt>
                <c:pt idx="2">
                  <c:v>Lima</c:v>
                </c:pt>
              </c:strCache>
            </c:strRef>
          </c:cat>
          <c:val>
            <c:numRef>
              <c:f>Hoja1!$B$33:$B$35</c:f>
              <c:numCache>
                <c:formatCode>General</c:formatCode>
                <c:ptCount val="3"/>
                <c:pt idx="0">
                  <c:v>22</c:v>
                </c:pt>
                <c:pt idx="1">
                  <c:v>5</c:v>
                </c:pt>
                <c:pt idx="2">
                  <c:v>1</c:v>
                </c:pt>
              </c:numCache>
            </c:numRef>
          </c:val>
          <c:extLst>
            <c:ext xmlns:c16="http://schemas.microsoft.com/office/drawing/2014/chart" uri="{C3380CC4-5D6E-409C-BE32-E72D297353CC}">
              <c16:uniqueId val="{00000006-1257-40C5-A172-0F100D6CF842}"/>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9B7-4E57-BBD6-5126C2A27D5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9B7-4E57-BBD6-5126C2A27D5F}"/>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9B7-4E57-BBD6-5126C2A27D5F}"/>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E9B7-4E57-BBD6-5126C2A27D5F}"/>
              </c:ext>
            </c:extLst>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Hoja1!$A$37:$A$40</c:f>
              <c:strCache>
                <c:ptCount val="4"/>
                <c:pt idx="0">
                  <c:v>Construcción/RCD</c:v>
                </c:pt>
                <c:pt idx="1">
                  <c:v>Otro</c:v>
                </c:pt>
                <c:pt idx="2">
                  <c:v>Textil</c:v>
                </c:pt>
                <c:pt idx="3">
                  <c:v>Plásticos</c:v>
                </c:pt>
              </c:strCache>
            </c:strRef>
          </c:cat>
          <c:val>
            <c:numRef>
              <c:f>Hoja1!$B$37:$B$40</c:f>
              <c:numCache>
                <c:formatCode>General</c:formatCode>
                <c:ptCount val="4"/>
                <c:pt idx="0">
                  <c:v>8</c:v>
                </c:pt>
                <c:pt idx="1">
                  <c:v>12</c:v>
                </c:pt>
                <c:pt idx="2">
                  <c:v>6</c:v>
                </c:pt>
                <c:pt idx="3">
                  <c:v>2</c:v>
                </c:pt>
              </c:numCache>
            </c:numRef>
          </c:val>
          <c:extLst>
            <c:ext xmlns:c16="http://schemas.microsoft.com/office/drawing/2014/chart" uri="{C3380CC4-5D6E-409C-BE32-E72D297353CC}">
              <c16:uniqueId val="{00000008-E9B7-4E57-BBD6-5126C2A27D5F}"/>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spPr>
            <a:solidFill>
              <a:schemeClr val="accent1"/>
            </a:solidFill>
            <a:ln>
              <a:noFill/>
            </a:ln>
            <a:effectLst/>
          </c:spPr>
          <c:invertIfNegative val="0"/>
          <c:cat>
            <c:strRef>
              <c:f>Hoja1!$A$43:$A$49</c:f>
              <c:strCache>
                <c:ptCount val="7"/>
                <c:pt idx="0">
                  <c:v>Webinar: Medir para impactar - Indicadores de circularidad</c:v>
                </c:pt>
                <c:pt idx="1">
                  <c:v>Pasaporte Digital y REP: claves para la circularidad en la moda</c:v>
                </c:pt>
                <c:pt idx="2">
                  <c:v>De escombros a oportunidades: circularidad en la construcción</c:v>
                </c:pt>
                <c:pt idx="3">
                  <c:v>Empaques circulares: del reto a la solución</c:v>
                </c:pt>
                <c:pt idx="4">
                  <c:v>Ecoetiquetas: el poder de informar y transformar</c:v>
                </c:pt>
                <c:pt idx="5">
                  <c:v>Webinar Regional de Contextualización</c:v>
                </c:pt>
                <c:pt idx="6">
                  <c:v>Ninguno</c:v>
                </c:pt>
              </c:strCache>
            </c:strRef>
          </c:cat>
          <c:val>
            <c:numRef>
              <c:f>Hoja1!$B$43:$B$49</c:f>
              <c:numCache>
                <c:formatCode>General</c:formatCode>
                <c:ptCount val="7"/>
                <c:pt idx="0">
                  <c:v>17</c:v>
                </c:pt>
                <c:pt idx="1">
                  <c:v>13</c:v>
                </c:pt>
                <c:pt idx="2">
                  <c:v>11</c:v>
                </c:pt>
                <c:pt idx="3">
                  <c:v>10</c:v>
                </c:pt>
                <c:pt idx="4">
                  <c:v>8</c:v>
                </c:pt>
                <c:pt idx="5">
                  <c:v>7</c:v>
                </c:pt>
                <c:pt idx="6">
                  <c:v>3</c:v>
                </c:pt>
              </c:numCache>
            </c:numRef>
          </c:val>
          <c:extLst>
            <c:ext xmlns:c16="http://schemas.microsoft.com/office/drawing/2014/chart" uri="{C3380CC4-5D6E-409C-BE32-E72D297353CC}">
              <c16:uniqueId val="{00000000-3F97-4EBE-B7CC-A9B34789B20A}"/>
            </c:ext>
          </c:extLst>
        </c:ser>
        <c:dLbls>
          <c:showLegendKey val="0"/>
          <c:showVal val="0"/>
          <c:showCatName val="0"/>
          <c:showSerName val="0"/>
          <c:showPercent val="0"/>
          <c:showBubbleSize val="0"/>
        </c:dLbls>
        <c:gapWidth val="150"/>
        <c:overlap val="100"/>
        <c:axId val="863198672"/>
        <c:axId val="863199752"/>
      </c:barChart>
      <c:catAx>
        <c:axId val="86319867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863199752"/>
        <c:crosses val="autoZero"/>
        <c:auto val="1"/>
        <c:lblAlgn val="ctr"/>
        <c:lblOffset val="100"/>
        <c:noMultiLvlLbl val="0"/>
      </c:catAx>
      <c:valAx>
        <c:axId val="8631997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8631986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Hoja1!$E$40</c:f>
              <c:strCache>
                <c:ptCount val="1"/>
                <c:pt idx="0">
                  <c:v>Detractores (1 y 2)</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Hoja1!$F$39:$G$39</c:f>
              <c:strCache>
                <c:ptCount val="2"/>
                <c:pt idx="0">
                  <c:v>Pregunta 4</c:v>
                </c:pt>
                <c:pt idx="1">
                  <c:v>Pregunta 5</c:v>
                </c:pt>
              </c:strCache>
            </c:strRef>
          </c:cat>
          <c:val>
            <c:numRef>
              <c:f>Hoja1!$F$40:$G$40</c:f>
              <c:numCache>
                <c:formatCode>0</c:formatCode>
                <c:ptCount val="2"/>
                <c:pt idx="0">
                  <c:v>2</c:v>
                </c:pt>
                <c:pt idx="1">
                  <c:v>0</c:v>
                </c:pt>
              </c:numCache>
            </c:numRef>
          </c:val>
          <c:extLst>
            <c:ext xmlns:c16="http://schemas.microsoft.com/office/drawing/2014/chart" uri="{C3380CC4-5D6E-409C-BE32-E72D297353CC}">
              <c16:uniqueId val="{00000000-02C3-4DC9-BA44-4F1D89782A22}"/>
            </c:ext>
          </c:extLst>
        </c:ser>
        <c:ser>
          <c:idx val="1"/>
          <c:order val="1"/>
          <c:tx>
            <c:strRef>
              <c:f>Hoja1!$E$41</c:f>
              <c:strCache>
                <c:ptCount val="1"/>
                <c:pt idx="0">
                  <c:v>Neutrales (3)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Hoja1!$F$39:$G$39</c:f>
              <c:strCache>
                <c:ptCount val="2"/>
                <c:pt idx="0">
                  <c:v>Pregunta 4</c:v>
                </c:pt>
                <c:pt idx="1">
                  <c:v>Pregunta 5</c:v>
                </c:pt>
              </c:strCache>
            </c:strRef>
          </c:cat>
          <c:val>
            <c:numRef>
              <c:f>Hoja1!$F$41:$G$41</c:f>
              <c:numCache>
                <c:formatCode>0</c:formatCode>
                <c:ptCount val="2"/>
                <c:pt idx="0">
                  <c:v>5</c:v>
                </c:pt>
                <c:pt idx="1">
                  <c:v>7</c:v>
                </c:pt>
              </c:numCache>
            </c:numRef>
          </c:val>
          <c:extLst>
            <c:ext xmlns:c16="http://schemas.microsoft.com/office/drawing/2014/chart" uri="{C3380CC4-5D6E-409C-BE32-E72D297353CC}">
              <c16:uniqueId val="{00000001-02C3-4DC9-BA44-4F1D89782A22}"/>
            </c:ext>
          </c:extLst>
        </c:ser>
        <c:ser>
          <c:idx val="2"/>
          <c:order val="2"/>
          <c:tx>
            <c:strRef>
              <c:f>Hoja1!$E$42</c:f>
              <c:strCache>
                <c:ptCount val="1"/>
                <c:pt idx="0">
                  <c:v>Promotores (4 y 5)</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Hoja1!$F$39:$G$39</c:f>
              <c:strCache>
                <c:ptCount val="2"/>
                <c:pt idx="0">
                  <c:v>Pregunta 4</c:v>
                </c:pt>
                <c:pt idx="1">
                  <c:v>Pregunta 5</c:v>
                </c:pt>
              </c:strCache>
            </c:strRef>
          </c:cat>
          <c:val>
            <c:numRef>
              <c:f>Hoja1!$F$42:$G$42</c:f>
              <c:numCache>
                <c:formatCode>0</c:formatCode>
                <c:ptCount val="2"/>
                <c:pt idx="0">
                  <c:v>21</c:v>
                </c:pt>
                <c:pt idx="1">
                  <c:v>21</c:v>
                </c:pt>
              </c:numCache>
            </c:numRef>
          </c:val>
          <c:extLst>
            <c:ext xmlns:c16="http://schemas.microsoft.com/office/drawing/2014/chart" uri="{C3380CC4-5D6E-409C-BE32-E72D297353CC}">
              <c16:uniqueId val="{00000002-02C3-4DC9-BA44-4F1D89782A22}"/>
            </c:ext>
          </c:extLst>
        </c:ser>
        <c:dLbls>
          <c:showLegendKey val="0"/>
          <c:showVal val="0"/>
          <c:showCatName val="0"/>
          <c:showSerName val="0"/>
          <c:showPercent val="0"/>
          <c:showBubbleSize val="0"/>
        </c:dLbls>
        <c:gapWidth val="150"/>
        <c:overlap val="100"/>
        <c:axId val="2051847727"/>
        <c:axId val="2056899743"/>
      </c:barChart>
      <c:catAx>
        <c:axId val="20518477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56899743"/>
        <c:crosses val="autoZero"/>
        <c:auto val="1"/>
        <c:lblAlgn val="ctr"/>
        <c:lblOffset val="100"/>
        <c:noMultiLvlLbl val="0"/>
      </c:catAx>
      <c:valAx>
        <c:axId val="205689974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518477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Hoja1!$E$40</c:f>
              <c:strCache>
                <c:ptCount val="1"/>
                <c:pt idx="0">
                  <c:v>Detractores (1 y 2)</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Hoja1!$I$39</c:f>
              <c:strCache>
                <c:ptCount val="1"/>
                <c:pt idx="0">
                  <c:v>Pregunta 7</c:v>
                </c:pt>
              </c:strCache>
            </c:strRef>
          </c:cat>
          <c:val>
            <c:numRef>
              <c:f>Hoja1!$I$40</c:f>
              <c:numCache>
                <c:formatCode>0</c:formatCode>
                <c:ptCount val="1"/>
                <c:pt idx="0">
                  <c:v>2</c:v>
                </c:pt>
              </c:numCache>
            </c:numRef>
          </c:val>
          <c:extLst>
            <c:ext xmlns:c16="http://schemas.microsoft.com/office/drawing/2014/chart" uri="{C3380CC4-5D6E-409C-BE32-E72D297353CC}">
              <c16:uniqueId val="{00000000-C629-455B-B693-3D8775F17864}"/>
            </c:ext>
          </c:extLst>
        </c:ser>
        <c:ser>
          <c:idx val="1"/>
          <c:order val="1"/>
          <c:tx>
            <c:strRef>
              <c:f>Hoja1!$E$41</c:f>
              <c:strCache>
                <c:ptCount val="1"/>
                <c:pt idx="0">
                  <c:v>Neutrales (3)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Hoja1!$I$39</c:f>
              <c:strCache>
                <c:ptCount val="1"/>
                <c:pt idx="0">
                  <c:v>Pregunta 7</c:v>
                </c:pt>
              </c:strCache>
            </c:strRef>
          </c:cat>
          <c:val>
            <c:numRef>
              <c:f>Hoja1!$I$41</c:f>
              <c:numCache>
                <c:formatCode>0</c:formatCode>
                <c:ptCount val="1"/>
                <c:pt idx="0">
                  <c:v>8</c:v>
                </c:pt>
              </c:numCache>
            </c:numRef>
          </c:val>
          <c:extLst>
            <c:ext xmlns:c16="http://schemas.microsoft.com/office/drawing/2014/chart" uri="{C3380CC4-5D6E-409C-BE32-E72D297353CC}">
              <c16:uniqueId val="{00000001-C629-455B-B693-3D8775F17864}"/>
            </c:ext>
          </c:extLst>
        </c:ser>
        <c:ser>
          <c:idx val="2"/>
          <c:order val="2"/>
          <c:tx>
            <c:strRef>
              <c:f>Hoja1!$E$42</c:f>
              <c:strCache>
                <c:ptCount val="1"/>
                <c:pt idx="0">
                  <c:v>Promotores (4 y 5)</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Hoja1!$I$39</c:f>
              <c:strCache>
                <c:ptCount val="1"/>
                <c:pt idx="0">
                  <c:v>Pregunta 7</c:v>
                </c:pt>
              </c:strCache>
            </c:strRef>
          </c:cat>
          <c:val>
            <c:numRef>
              <c:f>Hoja1!$I$42</c:f>
              <c:numCache>
                <c:formatCode>0</c:formatCode>
                <c:ptCount val="1"/>
                <c:pt idx="0">
                  <c:v>18</c:v>
                </c:pt>
              </c:numCache>
            </c:numRef>
          </c:val>
          <c:extLst>
            <c:ext xmlns:c16="http://schemas.microsoft.com/office/drawing/2014/chart" uri="{C3380CC4-5D6E-409C-BE32-E72D297353CC}">
              <c16:uniqueId val="{00000002-C629-455B-B693-3D8775F17864}"/>
            </c:ext>
          </c:extLst>
        </c:ser>
        <c:dLbls>
          <c:showLegendKey val="0"/>
          <c:showVal val="0"/>
          <c:showCatName val="0"/>
          <c:showSerName val="0"/>
          <c:showPercent val="0"/>
          <c:showBubbleSize val="0"/>
        </c:dLbls>
        <c:gapWidth val="150"/>
        <c:overlap val="100"/>
        <c:axId val="2051847727"/>
        <c:axId val="2056899743"/>
      </c:barChart>
      <c:catAx>
        <c:axId val="20518477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56899743"/>
        <c:crosses val="autoZero"/>
        <c:auto val="1"/>
        <c:lblAlgn val="ctr"/>
        <c:lblOffset val="100"/>
        <c:noMultiLvlLbl val="0"/>
      </c:catAx>
      <c:valAx>
        <c:axId val="205689974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518477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Hoja1!$E$40</c:f>
              <c:strCache>
                <c:ptCount val="1"/>
                <c:pt idx="0">
                  <c:v>Detractores (1 y 2)</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Hoja1!$J$39:$K$39</c:f>
              <c:strCache>
                <c:ptCount val="2"/>
                <c:pt idx="0">
                  <c:v>Pregunta 6</c:v>
                </c:pt>
                <c:pt idx="1">
                  <c:v>Preguntas 8</c:v>
                </c:pt>
              </c:strCache>
            </c:strRef>
          </c:cat>
          <c:val>
            <c:numRef>
              <c:f>Hoja1!$J$40:$K$40</c:f>
              <c:numCache>
                <c:formatCode>0</c:formatCode>
                <c:ptCount val="2"/>
                <c:pt idx="0">
                  <c:v>1</c:v>
                </c:pt>
                <c:pt idx="1">
                  <c:v>3</c:v>
                </c:pt>
              </c:numCache>
            </c:numRef>
          </c:val>
          <c:extLst>
            <c:ext xmlns:c16="http://schemas.microsoft.com/office/drawing/2014/chart" uri="{C3380CC4-5D6E-409C-BE32-E72D297353CC}">
              <c16:uniqueId val="{00000000-1379-42D4-AA1E-F08FAF0F0A6E}"/>
            </c:ext>
          </c:extLst>
        </c:ser>
        <c:ser>
          <c:idx val="1"/>
          <c:order val="1"/>
          <c:tx>
            <c:strRef>
              <c:f>Hoja1!$E$41</c:f>
              <c:strCache>
                <c:ptCount val="1"/>
                <c:pt idx="0">
                  <c:v>Neutrales (3)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Hoja1!$J$39:$K$39</c:f>
              <c:strCache>
                <c:ptCount val="2"/>
                <c:pt idx="0">
                  <c:v>Pregunta 6</c:v>
                </c:pt>
                <c:pt idx="1">
                  <c:v>Preguntas 8</c:v>
                </c:pt>
              </c:strCache>
            </c:strRef>
          </c:cat>
          <c:val>
            <c:numRef>
              <c:f>Hoja1!$J$41:$K$41</c:f>
              <c:numCache>
                <c:formatCode>0</c:formatCode>
                <c:ptCount val="2"/>
                <c:pt idx="0">
                  <c:v>6</c:v>
                </c:pt>
                <c:pt idx="1">
                  <c:v>7</c:v>
                </c:pt>
              </c:numCache>
            </c:numRef>
          </c:val>
          <c:extLst>
            <c:ext xmlns:c16="http://schemas.microsoft.com/office/drawing/2014/chart" uri="{C3380CC4-5D6E-409C-BE32-E72D297353CC}">
              <c16:uniqueId val="{00000001-1379-42D4-AA1E-F08FAF0F0A6E}"/>
            </c:ext>
          </c:extLst>
        </c:ser>
        <c:ser>
          <c:idx val="2"/>
          <c:order val="2"/>
          <c:tx>
            <c:strRef>
              <c:f>Hoja1!$E$42</c:f>
              <c:strCache>
                <c:ptCount val="1"/>
                <c:pt idx="0">
                  <c:v>Promotores (4 y 5)</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Hoja1!$J$39:$K$39</c:f>
              <c:strCache>
                <c:ptCount val="2"/>
                <c:pt idx="0">
                  <c:v>Pregunta 6</c:v>
                </c:pt>
                <c:pt idx="1">
                  <c:v>Preguntas 8</c:v>
                </c:pt>
              </c:strCache>
            </c:strRef>
          </c:cat>
          <c:val>
            <c:numRef>
              <c:f>Hoja1!$J$42:$K$42</c:f>
              <c:numCache>
                <c:formatCode>0</c:formatCode>
                <c:ptCount val="2"/>
                <c:pt idx="0">
                  <c:v>21</c:v>
                </c:pt>
                <c:pt idx="1">
                  <c:v>18</c:v>
                </c:pt>
              </c:numCache>
            </c:numRef>
          </c:val>
          <c:extLst>
            <c:ext xmlns:c16="http://schemas.microsoft.com/office/drawing/2014/chart" uri="{C3380CC4-5D6E-409C-BE32-E72D297353CC}">
              <c16:uniqueId val="{00000002-1379-42D4-AA1E-F08FAF0F0A6E}"/>
            </c:ext>
          </c:extLst>
        </c:ser>
        <c:dLbls>
          <c:showLegendKey val="0"/>
          <c:showVal val="0"/>
          <c:showCatName val="0"/>
          <c:showSerName val="0"/>
          <c:showPercent val="0"/>
          <c:showBubbleSize val="0"/>
        </c:dLbls>
        <c:gapWidth val="150"/>
        <c:overlap val="100"/>
        <c:axId val="2051847727"/>
        <c:axId val="2056899743"/>
      </c:barChart>
      <c:catAx>
        <c:axId val="20518477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56899743"/>
        <c:crosses val="autoZero"/>
        <c:auto val="1"/>
        <c:lblAlgn val="ctr"/>
        <c:lblOffset val="100"/>
        <c:noMultiLvlLbl val="0"/>
      </c:catAx>
      <c:valAx>
        <c:axId val="205689974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518477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strDim type="cat">
        <cx:f>P_Abiertas!$A$3:$B$10</cx:f>
        <cx:lvl ptCount="8">
          <cx:pt idx="0">Mejorar la facilidad de uso ("Más sencillo y de fácil manejo")</cx:pt>
          <cx:pt idx="1">Solucionar caídas del sistema ("Que no esté caída", "Que sí funcionara")</cx:pt>
          <cx:pt idx="2">Integrar sistema de notificaciones</cx:pt>
          <cx:pt idx="3">Mejorar el chat ("Comunicar de otra forma tipo Amazon")</cx:pt>
          <cx:pt idx="4">Brindar capacitación efectiva y asesoría a empresarios</cx:pt>
          <cx:pt idx="5">Crear clasificación específica para subproductos ("Residuos")</cx:pt>
          <cx:pt idx="6">Aumentar la difusión ("Más presencia, más usuarios e influencia")</cx:pt>
          <cx:pt idx="7">Habilitar perfiles para empresas que hoy no tienen acceso</cx:pt>
        </cx:lvl>
        <cx:lvl ptCount="8">
          <cx:pt idx="0">Usabilidad y Estabilidad</cx:pt>
          <cx:pt idx="1">Usabilidad y Estabilidad</cx:pt>
          <cx:pt idx="2">Comunicación y Notificaciones</cx:pt>
          <cx:pt idx="3">Comunicación y Notificaciones</cx:pt>
          <cx:pt idx="4">Capacitación y Soporte</cx:pt>
          <cx:pt idx="5">Diseño y Catálogo</cx:pt>
          <cx:pt idx="6">Promoción y Adopción</cx:pt>
          <cx:pt idx="7">Accesibilidad al Registro</cx:pt>
        </cx:lvl>
      </cx:strDim>
      <cx:numDim type="size">
        <cx:f>P_Abiertas!$C$3:$C$10</cx:f>
        <cx:lvl ptCount="8" formatCode="General">
          <cx:pt idx="0">2</cx:pt>
          <cx:pt idx="1">2</cx:pt>
          <cx:pt idx="2">1</cx:pt>
          <cx:pt idx="3">1</cx:pt>
          <cx:pt idx="4">3</cx:pt>
          <cx:pt idx="5">1</cx:pt>
          <cx:pt idx="6">1</cx:pt>
          <cx:pt idx="7">1</cx:pt>
        </cx:lvl>
      </cx:numDim>
    </cx:data>
  </cx:chartData>
  <cx:chart>
    <cx:plotArea>
      <cx:plotAreaRegion>
        <cx:series layoutId="treemap" uniqueId="{E2F600E1-D683-42AD-AA80-4B46CE6BA996}">
          <cx:tx>
            <cx:txData>
              <cx:f>P_Abiertas!$C$2</cx:f>
              <cx:v>Frecuencia</cx:v>
            </cx:txData>
          </cx:tx>
          <cx:dataLabels pos="inEnd">
            <cx:visibility seriesName="0" categoryName="1" value="0"/>
          </cx:dataLabels>
          <cx:dataId val="0"/>
          <cx:layoutPr>
            <cx:parentLabelLayout val="overlapping"/>
          </cx:layoutPr>
        </cx:series>
      </cx:plotAreaRegion>
    </cx:plotArea>
    <cx:legend pos="t" align="ctr" overlay="0"/>
  </cx:chart>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410">
  <cs:axisTitle>
    <cs:lnRef idx="0"/>
    <cs:fillRef idx="0"/>
    <cs:effectRef idx="0"/>
    <cs:fontRef idx="minor">
      <a:schemeClr val="tx1">
        <a:lumMod val="65000"/>
        <a:lumOff val="35000"/>
      </a:schemeClr>
    </cs:fontRef>
    <cs:spPr>
      <a:solidFill>
        <a:schemeClr val="bg1">
          <a:lumMod val="65000"/>
        </a:schemeClr>
      </a:solidFill>
      <a:ln w="19050">
        <a:solidFill>
          <a:schemeClr val="bg1"/>
        </a:solidFill>
      </a:ln>
    </cs:spPr>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lt1"/>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ln w="19050">
        <a:solidFill>
          <a:schemeClr val="lt1"/>
        </a:solidFill>
      </a:ln>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15000"/>
            <a:lumOff val="8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sol23</b:Tag>
    <b:SourceType>Report</b:SourceType>
    <b:Guid>{63322D3E-D8BD-4A4B-9C87-BB9E5CE7FF9A}</b:Guid>
    <b:Author>
      <b:Author>
        <b:NameList>
          <b:Person>
            <b:Last>solutions</b:Last>
            <b:First>ADA</b:First>
            <b:Middle>services shared</b:Middle>
          </b:Person>
        </b:NameList>
      </b:Author>
    </b:Author>
    <b:Title>ANÁLISIS Y CARACTERIZACIÓN DE LOS SECTORES ECONÓMICOS</b:Title>
    <b:Year>2023</b:Year>
    <b:City>Bogotá D.C.</b:City>
    <b:Pages>31</b:Pages>
    <b:RefOrder>2</b:RefOrder>
  </b:Source>
  <b:Source>
    <b:Tag>Ell23</b:Tag>
    <b:SourceType>Report</b:SourceType>
    <b:Guid>{27D6BC2F-988E-4530-96B9-44C87382BBCE}</b:Guid>
    <b:Author>
      <b:Author>
        <b:Corporate>Ellen MacArthur Foundation, &amp; United Nations Environment Programme</b:Corporate>
      </b:Author>
    </b:Author>
    <b:Title>The global commitment five years in.</b:Title>
    <b:Year>2023</b:Year>
    <b:URL>https://content.ellenmacarthurfoundation.org/m/11b390e442ce36ba/original/The-Global-Commitment-Five-Years-In.pdf</b:URL>
    <b:RefOrder>3</b:RefOrder>
  </b:Source>
  <b:Source>
    <b:Tag>Sec23</b:Tag>
    <b:SourceType>Report</b:SourceType>
    <b:Guid>{996BBA2F-515F-474F-992A-4E0AA6ABACBB}</b:Guid>
    <b:Author>
      <b:Author>
        <b:Corporate>Secretaría Distrital de Ambiente</b:Corporate>
      </b:Author>
    </b:Author>
    <b:Title>Política pública distrital de economía circular (CONPES D.C. 35)</b:Title>
    <b:Year>2023</b:Year>
    <b:URL>https://www.sdp.gov.co</b:URL>
    <b:RefOrder>4</b:RefOrder>
  </b:Source>
  <b:Source>
    <b:Tag>ICL24</b:Tag>
    <b:SourceType>Report</b:SourceType>
    <b:Guid>{5CF8F22E-26E2-4BCE-ADDC-B5B355E09744}</b:Guid>
    <b:Author>
      <b:Author>
        <b:Corporate>ICLEI, &amp; ACODAL</b:Corporate>
      </b:Author>
    </b:Author>
    <b:Title>MODELO DE GOBERNANZA PARA LA PLATAFORMA DE ECONOMIA CIRCULAR</b:Title>
    <b:Year>2025</b:Year>
    <b:City>Bogotá D.C.</b:City>
    <b:RefOrder>5</b:RefOrder>
  </b:Source>
  <b:Source>
    <b:Tag>ADA2410</b:Tag>
    <b:SourceType>Report</b:SourceType>
    <b:Guid>{166426CA-E43C-4498-B40A-11498A41690A}</b:Guid>
    <b:Author>
      <b:Author>
        <b:Corporate>ADA services shared solutions</b:Corporate>
      </b:Author>
    </b:Author>
    <b:Title>METODOLOGÍA DE CRITERIOS DE SELECCIÓN INDICADORES PARA REALIZAR SEGUIMIENTO PLATAFORMA MARKETPLACE ECONOMÍA CIRCULAR</b:Title>
    <b:Year>2024</b:Year>
    <b:City>Bogotá D.C.</b:City>
    <b:RefOrder>6</b:RefOrder>
  </b:Source>
  <b:Source>
    <b:Tag>ADA14</b:Tag>
    <b:SourceType>Report</b:SourceType>
    <b:Guid>{6637B103-BC72-4C0A-B866-3C9574F604B6}</b:Guid>
    <b:Author>
      <b:Author>
        <b:Corporate>ADA services shared solutions</b:Corporate>
      </b:Author>
    </b:Author>
    <b:Title>MAPA DEL SITIO, PROPUESTA DE IDENTIDAD VISUAL E INSTALACIÓN, CONFIGURACIÓN Y ENTREGA DEL CERTIFICADO SSL</b:Title>
    <b:Year>2014</b:Year>
    <b:City>Bogotá D.C.</b:City>
    <b:Pages>25</b:Pages>
    <b:RefOrder>7</b:RefOrder>
  </b:Source>
  <b:Source>
    <b:Tag>ADA248</b:Tag>
    <b:SourceType>Report</b:SourceType>
    <b:Guid>{AD3DFFDC-DC0B-4D7B-AB69-11212BD4FDE4}</b:Guid>
    <b:Author>
      <b:Author>
        <b:Corporate>ADA services shared solutions</b:Corporate>
      </b:Author>
    </b:Author>
    <b:Title>MANTENIMIENTO, ACTUALIZACIONES DE LA PLATAFORMA, SOPORTE Y ADMINISTRACIÓN DEL PORTAL WEB POR UN AÑO</b:Title>
    <b:Year>2024</b:Year>
    <b:City>Bogotá D.C.</b:City>
    <b:RefOrder>8</b:RefOrder>
  </b:Source>
  <b:Source>
    <b:Tag>ADA2412</b:Tag>
    <b:SourceType>Report</b:SourceType>
    <b:Guid>{5C43C4C3-B36B-43F9-92B2-A658B0EBBEB3}</b:Guid>
    <b:Author>
      <b:Author>
        <b:Corporate>ADA services shared solutions</b:Corporate>
      </b:Author>
    </b:Author>
    <b:Title>INSTRUCCIONES PARA EL CARGUE DE LA INFORMACIÓN DE LOS INDICADORES EN LA PLATAFORMA WEB</b:Title>
    <b:Year>2024</b:Year>
    <b:City>Bogotá D.C.</b:City>
    <b:RefOrder>9</b:RefOrder>
  </b:Source>
  <b:Source>
    <b:Tag>ADA247</b:Tag>
    <b:SourceType>Report</b:SourceType>
    <b:Guid>{0E0E3715-B350-4C61-BAF7-8CD7C478A2D3}</b:Guid>
    <b:Author>
      <b:Author>
        <b:Corporate>ADA sercices shared solutions</b:Corporate>
      </b:Author>
    </b:Author>
    <b:Title>INSTALACIÓN E IMPLEMENTACIÓN DE LA PLATAFORMA DE GESTIÓN DE CONTENIDOS Y CONFIGURACIÓN DE LIBRERÍAS, PLUG-INS, MÓDULOS, COMPONENTES</b:Title>
    <b:Year>2024</b:Year>
    <b:City>Bogotá D.C.</b:City>
    <b:RefOrder>10</b:RefOrder>
  </b:Source>
  <b:Source>
    <b:Tag>ICL252</b:Tag>
    <b:SourceType>Report</b:SourceType>
    <b:Guid>{BE8DE5D7-048D-420B-B0BE-1F620A50E0E0}</b:Guid>
    <b:Author>
      <b:Author>
        <b:Corporate>ICLEI, &amp; ACODAL</b:Corporate>
      </b:Author>
    </b:Author>
    <b:Title>INFORME FINAL DEL COMPONENTE II: ANÁLISIS NORMATIVO, INSTITUCIONAL Y DE GOBERNANZA PARA LA PLATAFORMA COLABORATIVA  REGIONAL DE ECONOMOMÍA CIRCULAR</b:Title>
    <b:Year>2025</b:Year>
    <b:City>Bogotá D.C.</b:City>
    <b:RefOrder>11</b:RefOrder>
  </b:Source>
  <b:Source>
    <b:Tag>ICL251</b:Tag>
    <b:SourceType>Report</b:SourceType>
    <b:Guid>{9EC816B1-960F-45A1-8D23-1BE03982DB7C}</b:Guid>
    <b:Author>
      <b:Author>
        <b:Corporate>ICLEI, &amp; ACODAL</b:Corporate>
      </b:Author>
    </b:Author>
    <b:Title>INFORME DE VALIDACIÓN PARTICIPATIVA</b:Title>
    <b:Year>2025</b:Year>
    <b:City>Bogotá D.C.</b:City>
    <b:RefOrder>12</b:RefOrder>
  </b:Source>
  <b:Source>
    <b:Tag>ADA245</b:Tag>
    <b:SourceType>Report</b:SourceType>
    <b:Guid>{2122AA7A-9C01-4804-9275-D4CCC70212B7}</b:Guid>
    <b:Author>
      <b:Author>
        <b:Corporate>ADA services shared solutions</b:Corporate>
      </b:Author>
    </b:Author>
    <b:Title>IDENTIFICACIÓN DE EMPRESAS / EMPRENDIMIENTOS / ACTIVIDADES OFERENTES Y DEMANDANTES PARA LA PLATAFORMA MARKETPLACE</b:Title>
    <b:Year>2024</b:Year>
    <b:City>Bogotá D.C.</b:City>
    <b:Pages>20</b:Pages>
    <b:RefOrder>13</b:RefOrder>
  </b:Source>
  <b:Source>
    <b:Tag>Ell22</b:Tag>
    <b:SourceType>Report</b:SourceType>
    <b:Guid>{B8BCE340-D771-497D-9E7C-FE19B6483CD5}</b:Guid>
    <b:Author>
      <b:Author>
        <b:Corporate>Ellen MacArthur Foundation</b:Corporate>
      </b:Author>
    </b:Author>
    <b:Title>Hoja de ruta de economía circular de Chile: colaboración para un plan de acción compartido</b:Title>
    <b:Year>2022</b:Year>
    <b:URL>https://ellenmacarthurfoundation.org</b:URL>
    <b:RefOrder>14</b:RefOrder>
  </b:Source>
  <b:Source>
    <b:Tag>Ell20</b:Tag>
    <b:SourceType>Report</b:SourceType>
    <b:Guid>{554D8816-9174-4F61-9754-18F38E7E899E}</b:Guid>
    <b:Author>
      <b:Author>
        <b:Corporate>Ellen MacArthur Foundation.</b:Corporate>
      </b:Author>
    </b:Author>
    <b:Title>he circular economy: A transformative Covid-19 recovery strategy</b:Title>
    <b:Year>2020</b:Year>
    <b:URL>https://www.ellenmacarthurfoundation.org/es/una-estrategia-transformadora-de-recuperacion-de-la-covid-19</b:URL>
    <b:RefOrder>15</b:RefOrder>
  </b:Source>
  <b:Source>
    <b:Tag>ADA141</b:Tag>
    <b:SourceType>Report</b:SourceType>
    <b:Guid>{816D70E1-D1E7-4C9F-924E-F0618398972F}</b:Guid>
    <b:Author>
      <b:Author>
        <b:Corporate>ADA services shared solutions</b:Corporate>
      </b:Author>
    </b:Author>
    <b:Title>EVENTO SOCIALIZACIÓN DE PLATAFORMA MARKETPLACE</b:Title>
    <b:Year>2014</b:Year>
    <b:City>Bogotá D.C.</b:City>
    <b:RefOrder>16</b:RefOrder>
  </b:Source>
  <b:Source>
    <b:Tag>ADA249</b:Tag>
    <b:SourceType>Report</b:SourceType>
    <b:Guid>{3BA1B373-A2BE-4536-B995-5F11877C36A8}</b:Guid>
    <b:Author>
      <b:Author>
        <b:Corporate>ADA services shared solutions</b:Corporate>
      </b:Author>
    </b:Author>
    <b:Title>DOCUMENTO PROPUESTA INDICADORES PARA REALIZAR SEGUIMIENTO PLATAFORMA MARKETPLACE ECONOMÍA CIRCULAR</b:Title>
    <b:Year>2025</b:Year>
    <b:City>Bogotá D.C.</b:City>
    <b:RefOrder>17</b:RefOrder>
  </b:Source>
  <b:Source>
    <b:Tag>ICL25</b:Tag>
    <b:SourceType>Report</b:SourceType>
    <b:Guid>{F870F3BC-1B2B-460E-9474-5205D33B49B7}</b:Guid>
    <b:Author>
      <b:Author>
        <b:Corporate>ICLEI, &amp; ACODAL</b:Corporate>
      </b:Author>
    </b:Author>
    <b:Title>DIAGNÓSTICO Y PROPUESTA DE FORTALECIMIENTO NORMATIVO</b:Title>
    <b:Year>2025</b:Year>
    <b:City>Bogotá D.C.</b:City>
    <b:RefOrder>18</b:RefOrder>
  </b:Source>
  <b:Source>
    <b:Tag>ADA246</b:Tag>
    <b:SourceType>Report</b:SourceType>
    <b:Guid>{77800C7C-48CA-48D2-9055-0F8404EB9470}</b:Guid>
    <b:Author>
      <b:Author>
        <b:Corporate>ADA services shared solutions</b:Corporate>
      </b:Author>
    </b:Author>
    <b:Title>DESARROLLO (PROGRAMACIÓN WEB, INSTALACIÓN DE FUNCIONES A LA MEDIDA, CARGUE DE CONTENIDO)</b:Title>
    <b:Year>2024</b:Year>
    <b:City>Bogotá D.C.</b:City>
    <b:RefOrder>19</b:RefOrder>
  </b:Source>
  <b:Source>
    <b:Tag>ADA2411</b:Tag>
    <b:SourceType>Report</b:SourceType>
    <b:Guid>{D7CF30F6-B23A-4C43-BA6D-5509A414BFB1}</b:Guid>
    <b:Author>
      <b:Author>
        <b:Corporate>ADA services shared solutions</b:Corporate>
      </b:Author>
    </b:Author>
    <b:Title>CONSTRUCCIÓN FICHA TÉCNICA INDICADORES PLATAFORMA MARKETPLACE ECONOMÍA CIRCULAR</b:Title>
    <b:Year>2024</b:Year>
    <b:City>Bogotá D.C.</b:City>
    <b:RefOrder>20</b:RefOrder>
  </b:Source>
  <b:Source>
    <b:Tag>ADA243</b:Tag>
    <b:SourceType>Report</b:SourceType>
    <b:Guid>{9667CE39-5165-4034-ADB8-1F744E1ECB75}</b:Guid>
    <b:Author>
      <b:Author>
        <b:Corporate>ADA services shared solutions</b:Corporate>
      </b:Author>
    </b:Author>
    <b:Title>CARACTERIZACIÓN TÉCNICA, NORMATIVA, POLÍTICA Y DE MERCADO EN TRES SECTORES PRIORIZADOS PARA QUITO ECUADOR</b:Title>
    <b:Year>2024</b:Year>
    <b:City>Bogotá D.C.</b:City>
    <b:Pages>61</b:Pages>
    <b:RefOrder>21</b:RefOrder>
  </b:Source>
  <b:Source>
    <b:Tag>ADA242</b:Tag>
    <b:SourceType>Report</b:SourceType>
    <b:Guid>{3EEA2439-F77E-49D2-973E-CE9A9EC0DD52}</b:Guid>
    <b:Author>
      <b:Author>
        <b:Corporate>ADA services shared solutions</b:Corporate>
      </b:Author>
    </b:Author>
    <b:Title>CARACTERIZACIÓN TÉCNICA, NORMATIVA, POLÍTICA Y DE MERCADO EN TRES SECTORES PRIORIZADOS PARA LIMA PERÚ</b:Title>
    <b:Year>2024</b:Year>
    <b:City>Bogotá D.C.</b:City>
    <b:Pages>61</b:Pages>
    <b:RefOrder>22</b:RefOrder>
  </b:Source>
  <b:Source>
    <b:Tag>ADA241</b:Tag>
    <b:SourceType>Report</b:SourceType>
    <b:Guid>{CED24A5D-CC64-42CC-AB44-571351D4A735}</b:Guid>
    <b:Author>
      <b:Author>
        <b:Corporate>ADA services shared solutions</b:Corporate>
      </b:Author>
    </b:Author>
    <b:Title>CARACTERIZACIÓN TÉCNICA, NORMATIVA, POLÍTICA Y DE MERCADO EN TRES SECTORES PRIORIZADOS PARA BOGOTÁ D.C., COLOMBIA</b:Title>
    <b:Year>2024</b:Year>
    <b:City>Bogotá D.C.</b:City>
    <b:Pages>56</b:Pages>
    <b:RefOrder>23</b:RefOrder>
  </b:Source>
  <b:Source>
    <b:Tag>ADA244</b:Tag>
    <b:SourceType>Report</b:SourceType>
    <b:Guid>{8CEDF74E-9F2A-4415-98AD-884D075B2C72}</b:Guid>
    <b:Title>CARACTERIZACIÓN TÉCNICA, NORMATIVA, POLÍTICA Y DE CARACTERIZACIÓN TÉCNICA, NORMATIVA, POLÍTICA Y DE MERCADO EN TRES SECTORES PRIORIZADOS PARA SANTIAGO DE CHILE., CHILE</b:Title>
    <b:Year>2024</b:Year>
    <b:City>Bogotá D.C.</b:City>
    <b:Author>
      <b:Author>
        <b:Corporate>ADA services shared solutions</b:Corporate>
      </b:Author>
    </b:Author>
    <b:Pages>77</b:Pages>
    <b:RefOrder>24</b:RefOrder>
  </b:Source>
  <b:Source>
    <b:Tag>OCD25</b:Tag>
    <b:SourceType>Report</b:SourceType>
    <b:Guid>{F812F6D6-5AD3-4300-A37D-43F0368D1A62}</b:Guid>
    <b:Author>
      <b:Author>
        <b:Corporate>OCDE</b:Corporate>
      </b:Author>
    </b:Author>
    <b:Title>Aplicación minuciosa de los criterios de evaluación</b:Title>
    <b:Year>2025</b:Year>
    <b:URL>https://www.oecd.org/content/dam/oecd/es/publications/reports/2021/03/applying-evaluation-criteria-thoughtfully_45a54ea7/d1ee36bb-es.pdf</b:URL>
    <b:RefOrder>1</b:RefOrder>
  </b:Source>
  <b:Source>
    <b:Tag>ADA232</b:Tag>
    <b:SourceType>Report</b:SourceType>
    <b:Guid>{B94FC2F5-1249-4753-AC40-62B3357CE70A}</b:Guid>
    <b:Author>
      <b:Author>
        <b:Corporate>ADA services shared solutions</b:Corporate>
      </b:Author>
    </b:Author>
    <b:Title>ANALISIS Y CARACTERIZACIÓN DE LOS SECTORES ECONOMICOS PARA LA CIUDAD DE SANTIAGO DE CHILE</b:Title>
    <b:Year>2023</b:Year>
    <b:City>Bogotá D.C.</b:City>
    <b:RefOrder>25</b:RefOrder>
  </b:Source>
  <b:Source>
    <b:Tag>ADA13</b:Tag>
    <b:SourceType>Report</b:SourceType>
    <b:Guid>{1B92C1AB-A50B-435B-A3CD-6238E1AD4A22}</b:Guid>
    <b:Author>
      <b:Author>
        <b:Corporate>ADA services shared solutions</b:Corporate>
      </b:Author>
    </b:Author>
    <b:Title>ANÁLISIS Y CARACTERIZACIÓN DE LOS SECTORES ECONÓMICOS PARA LA CIUDAD DE QUITO, ECUADOR</b:Title>
    <b:Year>2013</b:Year>
    <b:City>Bogotá D.C.</b:City>
    <b:RefOrder>26</b:RefOrder>
  </b:Source>
  <b:Source>
    <b:Tag>ADA231</b:Tag>
    <b:SourceType>Report</b:SourceType>
    <b:Guid>{33B7D0CB-9491-4F0C-B910-218655873EDF}</b:Guid>
    <b:Author>
      <b:Author>
        <b:Corporate>ADA services shared solutions</b:Corporate>
      </b:Author>
    </b:Author>
    <b:Title>ANALISIS Y CARACTERIZACIÓN DE LOS SECTORES ECONOMICOS PARA LA CIUDAD DE LIMA, PERU</b:Title>
    <b:Year>2023</b:Year>
    <b:City>Bogotá D.C.</b:City>
    <b:RefOrder>27</b:RefOrder>
  </b:Source>
  <b:Source>
    <b:Tag>ADA23</b:Tag>
    <b:SourceType>Report</b:SourceType>
    <b:Guid>{F896CEC8-62C7-47A9-90DE-C70867BC1EF4}</b:Guid>
    <b:Author>
      <b:Author>
        <b:Corporate>ADA services shared solutions</b:Corporate>
      </b:Author>
    </b:Author>
    <b:Title>ANÁLISIS Y CARACTERIZACIÓN DE LOS SECTORES ECONÓMICOS PARA LA CIUDAD DE BOGOTÁ, COLOMBIA</b:Title>
    <b:Year>2023</b:Year>
    <b:City>Bogotá D.C.</b:City>
    <b:Pages>34</b:Pages>
    <b:RefOrder>28</b:RefOrder>
  </b:Source>
  <b:Source>
    <b:Tag>Eur20</b:Tag>
    <b:SourceType>Report</b:SourceType>
    <b:Guid>{76D72DB9-A64B-4C22-A770-F2B6A4D65052}</b:Guid>
    <b:Author>
      <b:Author>
        <b:Corporate>European Commission, &amp; Ellen MacArthur Foundation</b:Corporate>
      </b:Author>
    </b:Author>
    <b:Title>A new circular economy action plan for a cleaner and more competitive Europe.</b:Title>
    <b:Year>2020</b:Year>
    <b:URL>https://eur-lex.europa.eu/legal-content/EN/TXT/?uri=CELEX:52020DC0098</b:URL>
    <b:RefOrder>29</b:RefOrder>
  </b:Source>
</b:Sources>
</file>

<file path=customXml/itemProps1.xml><?xml version="1.0" encoding="utf-8"?>
<ds:datastoreItem xmlns:ds="http://schemas.openxmlformats.org/officeDocument/2006/customXml" ds:itemID="{7A45D145-E427-4597-9AE3-3FF843D7D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67</Pages>
  <Words>25518</Words>
  <Characters>140353</Characters>
  <Application>Microsoft Office Word</Application>
  <DocSecurity>0</DocSecurity>
  <Lines>1169</Lines>
  <Paragraphs>331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Manager/>
  <Company/>
  <LinksUpToDate>false</LinksUpToDate>
  <CharactersWithSpaces>165540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Jhon Fredy Arias</dc:creator>
  <cp:keywords/>
  <dc:description/>
  <cp:lastModifiedBy>Kenneth Ochoa</cp:lastModifiedBy>
  <cp:revision>5</cp:revision>
  <cp:lastPrinted>2026-03-31T16:38:00Z</cp:lastPrinted>
  <dcterms:created xsi:type="dcterms:W3CDTF">2026-04-14T16:17:00Z</dcterms:created>
  <dcterms:modified xsi:type="dcterms:W3CDTF">2026-04-14T20:16:00Z</dcterms:modified>
  <cp:category/>
</cp:coreProperties>
</file>